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BB35A6" w14:textId="0DB733D6" w:rsidR="00D532B7" w:rsidRPr="001938B3" w:rsidRDefault="00D532B7" w:rsidP="004814FF">
      <w:pPr>
        <w:shd w:val="clear" w:color="auto" w:fill="FFFFFF"/>
        <w:spacing w:after="0" w:line="240" w:lineRule="auto"/>
        <w:jc w:val="right"/>
        <w:rPr>
          <w:rFonts w:eastAsia="Times New Roman" w:cstheme="minorHAnsi"/>
          <w:i/>
          <w:iCs/>
          <w:color w:val="222222"/>
          <w:lang w:eastAsia="pl-PL"/>
        </w:rPr>
      </w:pPr>
      <w:r w:rsidRPr="001938B3">
        <w:rPr>
          <w:rFonts w:eastAsia="Times New Roman" w:cstheme="minorHAnsi"/>
          <w:i/>
          <w:iCs/>
          <w:color w:val="222222"/>
          <w:lang w:eastAsia="pl-PL"/>
        </w:rPr>
        <w:t xml:space="preserve">Kraków, </w:t>
      </w:r>
      <w:r w:rsidR="00ED2ABC" w:rsidRPr="001938B3">
        <w:rPr>
          <w:rFonts w:eastAsia="Times New Roman" w:cstheme="minorHAnsi"/>
          <w:i/>
          <w:iCs/>
          <w:color w:val="222222"/>
          <w:lang w:eastAsia="pl-PL"/>
        </w:rPr>
        <w:t>14.04.2026 r.</w:t>
      </w:r>
      <w:r w:rsidRPr="001938B3">
        <w:rPr>
          <w:rFonts w:eastAsia="Times New Roman" w:cstheme="minorHAnsi"/>
          <w:i/>
          <w:iCs/>
          <w:color w:val="222222"/>
          <w:lang w:eastAsia="pl-PL"/>
        </w:rPr>
        <w:t xml:space="preserve"> </w:t>
      </w:r>
    </w:p>
    <w:p w14:paraId="1A43A8B1" w14:textId="77777777" w:rsidR="00D532B7" w:rsidRPr="001938B3" w:rsidRDefault="00D532B7" w:rsidP="004814FF">
      <w:pPr>
        <w:shd w:val="clear" w:color="auto" w:fill="FFFFFF"/>
        <w:spacing w:after="0" w:line="240" w:lineRule="auto"/>
        <w:jc w:val="both"/>
        <w:rPr>
          <w:rFonts w:eastAsia="Times New Roman" w:cstheme="minorHAnsi"/>
          <w:color w:val="222222"/>
          <w:sz w:val="24"/>
          <w:szCs w:val="24"/>
          <w:lang w:eastAsia="pl-PL"/>
        </w:rPr>
      </w:pPr>
    </w:p>
    <w:p w14:paraId="2AEE383A" w14:textId="77777777" w:rsidR="00464FE1" w:rsidRPr="001938B3" w:rsidRDefault="00464FE1" w:rsidP="00E865C5">
      <w:pPr>
        <w:rPr>
          <w:b/>
          <w:bCs/>
          <w:sz w:val="20"/>
          <w:szCs w:val="20"/>
        </w:rPr>
      </w:pPr>
    </w:p>
    <w:p w14:paraId="10107893" w14:textId="45536248" w:rsidR="00BB0AF0" w:rsidRPr="001938B3" w:rsidRDefault="00E865C5" w:rsidP="00E865C5">
      <w:pPr>
        <w:rPr>
          <w:b/>
          <w:bCs/>
          <w:sz w:val="20"/>
          <w:szCs w:val="20"/>
        </w:rPr>
      </w:pPr>
      <w:r w:rsidRPr="001938B3">
        <w:rPr>
          <w:b/>
          <w:bCs/>
          <w:sz w:val="20"/>
          <w:szCs w:val="20"/>
        </w:rPr>
        <w:t>INFORMACJA PRASOWA POBE</w:t>
      </w:r>
    </w:p>
    <w:p w14:paraId="50924167" w14:textId="77777777" w:rsidR="00ED2ABC" w:rsidRPr="001938B3" w:rsidRDefault="00ED2ABC" w:rsidP="00ED2ABC">
      <w:pPr>
        <w:spacing w:after="120"/>
        <w:rPr>
          <w:rFonts w:ascii="Calibri" w:hAnsi="Calibri" w:cs="Calibri"/>
          <w:color w:val="1F4E79" w:themeColor="accent5" w:themeShade="80"/>
          <w:sz w:val="28"/>
          <w:szCs w:val="28"/>
        </w:rPr>
      </w:pPr>
      <w:r w:rsidRPr="001938B3">
        <w:rPr>
          <w:rFonts w:ascii="Calibri" w:eastAsiaTheme="majorEastAsia" w:hAnsi="Calibri" w:cs="Calibri"/>
          <w:b/>
          <w:bCs/>
          <w:color w:val="1F4E79" w:themeColor="accent5" w:themeShade="80"/>
          <w:sz w:val="28"/>
          <w:szCs w:val="28"/>
        </w:rPr>
        <w:t>O kosztach ogrzewania decyduje głównie standard energetyczny budynku</w:t>
      </w:r>
    </w:p>
    <w:p w14:paraId="15E3FEE9" w14:textId="20A333A0" w:rsidR="00ED2ABC" w:rsidRPr="001938B3" w:rsidRDefault="00ED2ABC" w:rsidP="00ED2ABC">
      <w:pPr>
        <w:spacing w:after="120"/>
      </w:pPr>
      <w:r w:rsidRPr="001938B3">
        <w:rPr>
          <w:b/>
          <w:bCs/>
        </w:rPr>
        <w:t xml:space="preserve">Nowe zestawienie kosztów ogrzewania budynków za II kwartał 2026 r. przygotowane przez POBE pokazuje, że dyskusja o tym, ile zapłacimy za ciepło nie może sprowadzać się wyłącznie do cen paliw i energii. Kluczowe znaczenie ma przede wszystkim standard energetyczny budynku, a dopiero w drugiej kolejności sam wybór źródła ciepła. Wyraźnie to widać przy porównaniu wykresów z kosztami ogrzewania, które przedstawiamy dla czterech różnych poziomów zapotrzebowania budynku </w:t>
      </w:r>
      <w:r w:rsidR="001938B3" w:rsidRPr="001938B3">
        <w:rPr>
          <w:b/>
          <w:bCs/>
        </w:rPr>
        <w:t xml:space="preserve">jednorodzinnego </w:t>
      </w:r>
      <w:r w:rsidRPr="001938B3">
        <w:rPr>
          <w:b/>
          <w:bCs/>
        </w:rPr>
        <w:t>na energię do ogrzewania pomieszczeń.</w:t>
      </w:r>
      <w:r w:rsidRPr="001938B3">
        <w:t xml:space="preserve"> </w:t>
      </w:r>
    </w:p>
    <w:p w14:paraId="66B6F919" w14:textId="77777777" w:rsidR="00ED2ABC" w:rsidRPr="001938B3" w:rsidRDefault="00ED2ABC" w:rsidP="00ED2ABC">
      <w:pPr>
        <w:spacing w:after="120"/>
        <w:rPr>
          <w:b/>
          <w:bCs/>
          <w:color w:val="1F4E79" w:themeColor="accent5" w:themeShade="80"/>
          <w:sz w:val="24"/>
          <w:szCs w:val="24"/>
        </w:rPr>
      </w:pPr>
      <w:r w:rsidRPr="001938B3">
        <w:rPr>
          <w:b/>
          <w:bCs/>
          <w:color w:val="1F4E79" w:themeColor="accent5" w:themeShade="80"/>
          <w:sz w:val="24"/>
          <w:szCs w:val="24"/>
        </w:rPr>
        <w:t>Jaki standard dla starszego, a jaki dla nowego budynku?</w:t>
      </w:r>
    </w:p>
    <w:p w14:paraId="147F26BA" w14:textId="699DF329" w:rsidR="00ED2ABC" w:rsidRPr="001938B3" w:rsidRDefault="00ED2ABC" w:rsidP="00ED2ABC">
      <w:pPr>
        <w:spacing w:after="120"/>
      </w:pPr>
      <w:r w:rsidRPr="001938B3">
        <w:t xml:space="preserve">Do naszej analizy wybraliśmy cztery poziomy energetyczne, które mogą charakteryzować typowy dom jednorodzinny o powierzchni 150 m², użytkowany przez czteroosobową rodzinę korzystającą z ciepłej wody użytkowej. Dwa z nich odpowiadają progom energetycznym stosowanym dziś w programie „Czyste Powietrze” dla budynków istniejących </w:t>
      </w:r>
      <w:r w:rsidRPr="001938B3">
        <w:rPr>
          <w:rFonts w:cs="Calibri"/>
        </w:rPr>
        <w:t>–</w:t>
      </w:r>
      <w:r w:rsidRPr="001938B3">
        <w:t xml:space="preserve"> jest to standard EU 140 i EU 80. Dwa kolejne odnoszą się do nowych budynków </w:t>
      </w:r>
      <w:r w:rsidRPr="001938B3">
        <w:rPr>
          <w:rFonts w:cs="Calibri"/>
        </w:rPr>
        <w:t>−</w:t>
      </w:r>
      <w:r w:rsidRPr="001938B3">
        <w:t xml:space="preserve"> zrealizowanych zgodnie z minimalnymi wymogami aktualnych Warunków Technicznych (WT 2021) oraz w standardzie podwyższonym EU 30. Taki układ pozwala oddzielić logikę modernizacji budynków istniejących od standardów projektowych stosowanych przy nowych domach</w:t>
      </w:r>
      <w:r w:rsidR="001938B3" w:rsidRPr="001938B3">
        <w:t xml:space="preserve"> jednorodzinnych</w:t>
      </w:r>
      <w:r w:rsidRPr="001938B3">
        <w:t>.</w:t>
      </w:r>
    </w:p>
    <w:p w14:paraId="6CFD5D99" w14:textId="30003D72" w:rsidR="00ED2ABC" w:rsidRPr="001938B3" w:rsidRDefault="00ED2ABC" w:rsidP="00ED2ABC">
      <w:pPr>
        <w:spacing w:after="120"/>
      </w:pPr>
      <w:r w:rsidRPr="001938B3">
        <w:t>W przypadku starszych budynków celowo bierzemy pod uwagę poziomy zapotrzebowania na energię użytkową do ogrzewania EU 80 oraz EU 140. W programie „Czyste Powietrze” przyjęto bowiem, że budynki charakteryzujące się wartością EU poniżej 80 kWh/(m²·rok) mają relatywnie dobry standard energetyczny i ograniczono dla nich wsparcie praktycznie tylko do samej wymiany nieefektywnego źródła ciepła. Z kolei dla budynków w przedziale EU 80-140 kWh/(m²·rok) program zakłada już możliwość termomodernizacji – łącznie z wymianą nieefektywnego źródła ciepła albo bez wymiany, jeśli w domu jest efektywne źródło ciepła. Najszerszy zakres modernizacji (i dofinansowań) przewidziany jest dla budynków o wskaźniku powyżej 140 kWh/(m²·rok), przy czym termomodernizacja odgrywa tu rolę kluczową. W tym kontekście poziomy zużycia ciepła EU 80 i EU 140 są ważnymi punktami odniesienia dla oceny opłacalności modernizacji budynków istniejących, a nie tylko samej wymiany źródła ciepła.</w:t>
      </w:r>
    </w:p>
    <w:p w14:paraId="4EFCA0FB" w14:textId="77777777" w:rsidR="00ED2ABC" w:rsidRPr="001938B3" w:rsidRDefault="00ED2ABC" w:rsidP="00ED2ABC">
      <w:pPr>
        <w:spacing w:after="120"/>
      </w:pPr>
      <w:r w:rsidRPr="001938B3">
        <w:t xml:space="preserve">Standardy WT 2021 i EU 30 pokazują natomiast sytuację nowych budynków </w:t>
      </w:r>
      <w:r w:rsidRPr="001938B3">
        <w:rPr>
          <w:rFonts w:cs="Calibri"/>
        </w:rPr>
        <w:t>−</w:t>
      </w:r>
      <w:r w:rsidRPr="001938B3">
        <w:t xml:space="preserve"> a więc nie termomodernizację domu istniejącego, lecz wpływ wyższego standardu projektowego na późniejsze rachunki za ogrzewanie. EU 30 to nowy standard branżowy dla współczesnych domów jednorodzinnych w Polsce o bardzo niskim zapotrzebowaniu na energię. Wspiera on realizację budynków zgodnych z kierunkiem ZEB (czyli budynków zeroemisyjnych wg dyrektywy EPBD z 2024 r.), zapewniając niskie koszty eksploatacji przy optymalizacji kosztów inwestycji. Premiera standardu EU 30 odbyła się 5 lutego 2026 r. podczas targów BUDMA. </w:t>
      </w:r>
    </w:p>
    <w:p w14:paraId="4CB89453" w14:textId="77777777" w:rsidR="00ED2ABC" w:rsidRPr="001938B3" w:rsidRDefault="00ED2ABC" w:rsidP="00ED2ABC">
      <w:pPr>
        <w:spacing w:after="120"/>
      </w:pPr>
    </w:p>
    <w:p w14:paraId="601F1781" w14:textId="77777777" w:rsidR="00ED2ABC" w:rsidRPr="001938B3" w:rsidRDefault="00ED2ABC" w:rsidP="00ED2ABC">
      <w:pPr>
        <w:pStyle w:val="Nagwek1"/>
        <w:spacing w:before="280" w:after="160"/>
        <w:rPr>
          <w:rFonts w:ascii="Calibri" w:hAnsi="Calibri" w:cs="Calibri"/>
          <w:color w:val="1F4E79" w:themeColor="accent5" w:themeShade="80"/>
          <w:sz w:val="24"/>
          <w:szCs w:val="24"/>
          <w:lang w:val="pl-PL"/>
        </w:rPr>
      </w:pPr>
      <w:r w:rsidRPr="001938B3">
        <w:rPr>
          <w:rFonts w:ascii="Calibri" w:hAnsi="Calibri" w:cs="Calibri"/>
          <w:color w:val="1F4E79" w:themeColor="accent5" w:themeShade="80"/>
          <w:sz w:val="24"/>
          <w:szCs w:val="24"/>
          <w:lang w:val="pl-PL"/>
        </w:rPr>
        <w:lastRenderedPageBreak/>
        <w:t>Budynek istniejący w standardzie EU 140</w:t>
      </w:r>
    </w:p>
    <w:p w14:paraId="23D5AA86" w14:textId="77777777" w:rsidR="00ED2ABC" w:rsidRPr="001938B3" w:rsidRDefault="00ED2ABC" w:rsidP="00ED2ABC">
      <w:pPr>
        <w:spacing w:after="120"/>
      </w:pPr>
      <w:r w:rsidRPr="001938B3">
        <w:rPr>
          <w:noProof/>
        </w:rPr>
        <w:drawing>
          <wp:inline distT="0" distB="0" distL="0" distR="0" wp14:anchorId="6D53E047" wp14:editId="45CFED97">
            <wp:extent cx="6038809" cy="256558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140-1.png"/>
                    <pic:cNvPicPr/>
                  </pic:nvPicPr>
                  <pic:blipFill>
                    <a:blip r:embed="rId7"/>
                    <a:stretch>
                      <a:fillRect/>
                    </a:stretch>
                  </pic:blipFill>
                  <pic:spPr>
                    <a:xfrm>
                      <a:off x="0" y="0"/>
                      <a:ext cx="6048388" cy="2569652"/>
                    </a:xfrm>
                    <a:prstGeom prst="rect">
                      <a:avLst/>
                    </a:prstGeom>
                  </pic:spPr>
                </pic:pic>
              </a:graphicData>
            </a:graphic>
          </wp:inline>
        </w:drawing>
      </w:r>
    </w:p>
    <w:p w14:paraId="56FB976B" w14:textId="77777777" w:rsidR="00ED2ABC" w:rsidRPr="001938B3" w:rsidRDefault="00ED2ABC" w:rsidP="00ED2ABC">
      <w:pPr>
        <w:spacing w:after="120"/>
        <w:rPr>
          <w:i/>
          <w:iCs/>
          <w:color w:val="1F4E79" w:themeColor="accent5" w:themeShade="80"/>
        </w:rPr>
      </w:pPr>
      <w:r w:rsidRPr="001938B3">
        <w:rPr>
          <w:i/>
          <w:iCs/>
          <w:color w:val="1F4E79" w:themeColor="accent5" w:themeShade="80"/>
        </w:rPr>
        <w:t>Rys. 1. Przykładowe roczne koszty ogrzewania budynku jednorodzinnego o powierzchni 150 m</w:t>
      </w:r>
      <w:r w:rsidRPr="001938B3">
        <w:rPr>
          <w:i/>
          <w:iCs/>
          <w:color w:val="1F4E79" w:themeColor="accent5" w:themeShade="80"/>
          <w:vertAlign w:val="superscript"/>
        </w:rPr>
        <w:t>2</w:t>
      </w:r>
      <w:r w:rsidRPr="001938B3">
        <w:rPr>
          <w:i/>
          <w:iCs/>
          <w:color w:val="1F4E79" w:themeColor="accent5" w:themeShade="80"/>
        </w:rPr>
        <w:t>, o niskim standardzie energetycznym (EU 140 kWh/(m</w:t>
      </w:r>
      <w:r w:rsidRPr="001938B3">
        <w:rPr>
          <w:i/>
          <w:iCs/>
          <w:color w:val="1F4E79" w:themeColor="accent5" w:themeShade="80"/>
          <w:vertAlign w:val="superscript"/>
        </w:rPr>
        <w:t xml:space="preserve">2 · </w:t>
      </w:r>
      <w:r w:rsidRPr="001938B3">
        <w:rPr>
          <w:i/>
          <w:iCs/>
          <w:color w:val="1F4E79" w:themeColor="accent5" w:themeShade="80"/>
        </w:rPr>
        <w:t>rok)), wraz z kosztem przygotowania ciepłej wody użytkowej dla 4-osobowej rodziny. Dane uwzględniają koszty energii w II kw. 2026 r.</w:t>
      </w:r>
    </w:p>
    <w:p w14:paraId="39E8B98F" w14:textId="44EB00C5" w:rsidR="00301AC1" w:rsidRDefault="00301AC1" w:rsidP="00ED2ABC">
      <w:pPr>
        <w:spacing w:after="120"/>
      </w:pPr>
      <w:r w:rsidRPr="00301AC1">
        <w:t xml:space="preserve">Zgodnie z zasadami programu </w:t>
      </w:r>
      <w:r w:rsidR="008A6658">
        <w:t>„</w:t>
      </w:r>
      <w:r w:rsidRPr="00301AC1">
        <w:t>Czyste Powietrze</w:t>
      </w:r>
      <w:r w:rsidR="008A6658">
        <w:t>”</w:t>
      </w:r>
      <w:r w:rsidRPr="00301AC1">
        <w:t xml:space="preserve">, w budynkach o zapotrzebowaniu na energię powyżej 140 kWh/(m²·rok) przedsięwzięcie powinno doprowadzić do obniżenia tego wskaźnika do poziomu nie wyższego niż 140 kWh/(m²·rok) oraz do zmniejszenia zużycia energii co najmniej o 40%. Oznacza to, że w tej grupie budynków program wspiera przede wszystkim kompleksową modernizację, a nie </w:t>
      </w:r>
      <w:r>
        <w:t xml:space="preserve">tylko </w:t>
      </w:r>
      <w:r w:rsidRPr="00301AC1">
        <w:t>samą wymianę źródła ciepła; wymiana źródła jest potrzebna wtedy, gdy istniejące źródło nie jest efektywne.</w:t>
      </w:r>
    </w:p>
    <w:p w14:paraId="13C1A246" w14:textId="4266D66D" w:rsidR="00ED2ABC" w:rsidRPr="001938B3" w:rsidRDefault="00ED2ABC" w:rsidP="00ED2ABC">
      <w:pPr>
        <w:spacing w:after="120"/>
      </w:pPr>
      <w:r w:rsidRPr="001938B3">
        <w:t xml:space="preserve">W budynkach o tak niskim standardzie energetycznym dowolne zastosowane źródło ciepła będzie generować </w:t>
      </w:r>
      <w:r w:rsidR="00A51F1C">
        <w:t xml:space="preserve">relatywnie </w:t>
      </w:r>
      <w:r w:rsidRPr="001938B3">
        <w:t xml:space="preserve">wysokie koszty ogrzewania. Ilustruje to wykres na rys. 1 dotyczący istniejącego budynku w standardzie EU 140 kWh/(m²·rok). Koszty ogrzewania są w nim nawet o 60 proc. wyższe niż dla standardu EU 80, który stanowi kolejną pozycję w naszym zestawieniu. Według analiz POBE, roczne wydatki na ogrzewanie i przygotowanie ciepłej wody użytkowej wynoszą obecnie w takim </w:t>
      </w:r>
      <w:r w:rsidR="005378E0" w:rsidRPr="001938B3">
        <w:t>domu</w:t>
      </w:r>
      <w:r w:rsidRPr="001938B3">
        <w:t xml:space="preserve"> około 8070 zł dla pompy ciepła powietrze</w:t>
      </w:r>
      <w:r w:rsidR="005378E0" w:rsidRPr="001938B3">
        <w:t>-</w:t>
      </w:r>
      <w:r w:rsidRPr="001938B3">
        <w:t>woda współpracującej z grzejnikami, około 6120 zł dla pompy ciepła powietrze</w:t>
      </w:r>
      <w:r w:rsidR="005378E0" w:rsidRPr="001938B3">
        <w:t>-</w:t>
      </w:r>
      <w:r w:rsidRPr="001938B3">
        <w:t xml:space="preserve">woda z ogrzewaniem podłogowym, około 6750 zł dla gruntowej pompy ciepła z grzejnikami oraz około 5170 zł dla gruntowej pompy ciepła z ogrzewaniem podłogowym. </w:t>
      </w:r>
      <w:r w:rsidR="00865591" w:rsidRPr="00865591">
        <w:t xml:space="preserve">Dla porównania: roczny koszt ogrzewania i przygotowania c.w.u. dla kotła gazowego kondensacyjnego wynosi około </w:t>
      </w:r>
      <w:r w:rsidR="00865591">
        <w:t>9960</w:t>
      </w:r>
      <w:r w:rsidR="00865591" w:rsidRPr="00865591">
        <w:t xml:space="preserve"> zł</w:t>
      </w:r>
      <w:r w:rsidR="00865591">
        <w:t xml:space="preserve"> </w:t>
      </w:r>
      <w:r w:rsidRPr="001938B3">
        <w:t xml:space="preserve">przy </w:t>
      </w:r>
      <w:r w:rsidR="00DA39BB">
        <w:t xml:space="preserve">zastosowanych </w:t>
      </w:r>
      <w:r w:rsidRPr="001938B3">
        <w:t>grzejnikach i 9600 zł przy podłogówce, dla kotła na pelet drzewny około 11 890 zł, dla kotła na olej opałowy około 14 200 zł, a dla kotła elektrycznego około 17 730 zł.</w:t>
      </w:r>
    </w:p>
    <w:p w14:paraId="067B19BF" w14:textId="77777777" w:rsidR="00ED2ABC" w:rsidRPr="001938B3" w:rsidRDefault="00ED2ABC" w:rsidP="00ED2ABC">
      <w:pPr>
        <w:pStyle w:val="Nagwek1"/>
        <w:spacing w:before="280" w:after="160"/>
        <w:rPr>
          <w:rFonts w:asciiTheme="minorHAnsi" w:hAnsiTheme="minorHAnsi" w:cstheme="minorHAnsi"/>
          <w:color w:val="1F4E79" w:themeColor="accent5" w:themeShade="80"/>
          <w:sz w:val="24"/>
          <w:szCs w:val="24"/>
          <w:lang w:val="pl-PL"/>
        </w:rPr>
      </w:pPr>
      <w:r w:rsidRPr="001938B3">
        <w:rPr>
          <w:rFonts w:asciiTheme="minorHAnsi" w:hAnsiTheme="minorHAnsi" w:cstheme="minorHAnsi"/>
          <w:color w:val="1F4E79" w:themeColor="accent5" w:themeShade="80"/>
          <w:sz w:val="24"/>
          <w:szCs w:val="24"/>
          <w:lang w:val="pl-PL"/>
        </w:rPr>
        <w:lastRenderedPageBreak/>
        <w:t>Budynek istniejący w standardzie EU 80</w:t>
      </w:r>
    </w:p>
    <w:p w14:paraId="3B975E59" w14:textId="77777777" w:rsidR="00ED2ABC" w:rsidRPr="001938B3" w:rsidRDefault="00ED2ABC" w:rsidP="00ED2ABC">
      <w:pPr>
        <w:spacing w:after="120"/>
      </w:pPr>
      <w:r w:rsidRPr="001938B3">
        <w:rPr>
          <w:noProof/>
        </w:rPr>
        <w:drawing>
          <wp:inline distT="0" distB="0" distL="0" distR="0" wp14:anchorId="54DAA5FA" wp14:editId="631E45C7">
            <wp:extent cx="5852160" cy="248628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80-1.png"/>
                    <pic:cNvPicPr/>
                  </pic:nvPicPr>
                  <pic:blipFill>
                    <a:blip r:embed="rId8"/>
                    <a:stretch>
                      <a:fillRect/>
                    </a:stretch>
                  </pic:blipFill>
                  <pic:spPr>
                    <a:xfrm>
                      <a:off x="0" y="0"/>
                      <a:ext cx="5852160" cy="2486284"/>
                    </a:xfrm>
                    <a:prstGeom prst="rect">
                      <a:avLst/>
                    </a:prstGeom>
                  </pic:spPr>
                </pic:pic>
              </a:graphicData>
            </a:graphic>
          </wp:inline>
        </w:drawing>
      </w:r>
    </w:p>
    <w:p w14:paraId="390B4B62" w14:textId="5C929E42" w:rsidR="00ED2ABC" w:rsidRPr="001938B3" w:rsidRDefault="00A51F1C" w:rsidP="00ED2ABC">
      <w:pPr>
        <w:spacing w:after="120"/>
        <w:rPr>
          <w:i/>
          <w:iCs/>
          <w:color w:val="1F4E79" w:themeColor="accent5" w:themeShade="80"/>
        </w:rPr>
      </w:pPr>
      <w:r w:rsidRPr="00A51F1C">
        <w:rPr>
          <w:i/>
          <w:iCs/>
          <w:color w:val="1F4E79" w:themeColor="accent5" w:themeShade="80"/>
        </w:rPr>
        <w:t>Rys. 2. Przykładowe roczne koszty ogrzewania budynku jednorodzinnego o powierzchni 150 m², o zapotrzebowaniu na energię użytkową do ogrzewania EU 80 kWh/(m²·rok), wraz z kosztem przygotowania ciepłej wody użytkowej dla 4-osobowej rodziny. Dane uwzględniają koszty energii w II kwartale 2026 r</w:t>
      </w:r>
      <w:r w:rsidR="00ED2ABC" w:rsidRPr="001938B3">
        <w:rPr>
          <w:i/>
          <w:iCs/>
          <w:color w:val="1F4E79" w:themeColor="accent5" w:themeShade="80"/>
        </w:rPr>
        <w:t>.</w:t>
      </w:r>
    </w:p>
    <w:p w14:paraId="0157BA49" w14:textId="2A4EC382" w:rsidR="00ED2ABC" w:rsidRPr="001938B3" w:rsidRDefault="00ED2ABC" w:rsidP="00ED2ABC">
      <w:pPr>
        <w:spacing w:after="120"/>
      </w:pPr>
      <w:r w:rsidRPr="001938B3">
        <w:t xml:space="preserve">Najniższy próg energetyczny z programu „Czyste Powietrze”, czyli EU 80 kWh/(m²·rok), to wartość, poniżej której nie jest przewidziane dofinansowanie do termomodernizacji budynku. Jest to również maksymalny poziom zapotrzebowania na energię użytkową, do jakiego muszą zejść budynki z przedziału EU 80-140 kWh/(m²·rok), gdy korzysta się z dofinansowania na ich termomodernizację. Jednocześnie, podobnie jak poprzednio, musi być spełniony warunek redukcji tego zapotrzebowania o 40 proc. </w:t>
      </w:r>
    </w:p>
    <w:p w14:paraId="1D92212B" w14:textId="5F923C3E" w:rsidR="00ED2ABC" w:rsidRPr="001938B3" w:rsidRDefault="00ED2ABC" w:rsidP="00ED2ABC">
      <w:pPr>
        <w:spacing w:after="120"/>
      </w:pPr>
      <w:r w:rsidRPr="001938B3">
        <w:t>Koszty zaopatrzenia w ciepło budynku istniejącego w standardzie EU 80 kWh/(m²·rok) przedstawia wykres na rys. 2. W tym wariancie roczny koszt ogrzewania i c.w.u. wynosi około 5040 zł dla pompy ciepła powietrze</w:t>
      </w:r>
      <w:r w:rsidR="005378E0" w:rsidRPr="001938B3">
        <w:t>-</w:t>
      </w:r>
      <w:r w:rsidRPr="001938B3">
        <w:t>woda z grzejnikami, około 3940 zł dla pompy ciepła powietrze</w:t>
      </w:r>
      <w:r w:rsidR="005378E0" w:rsidRPr="001938B3">
        <w:t>-</w:t>
      </w:r>
      <w:r w:rsidRPr="001938B3">
        <w:t>woda z ogrzewaniem podłogowym, około 4240 zł dla gruntowej pompy ciepła z grzejnikami i około 3330 zł dla gruntowej pompy ciepła z podłogówką. Z kolei dla kotła gazowego kondensacyjnego to około 6510 zł przy grzejnikach i 6280 zł przy podłogówce, dla kotła na pelet drzewny około 7340 zł, dla olejowego około 8780 zł, a dla kotła elektrycznego około 10 910 zł rocznie.</w:t>
      </w:r>
    </w:p>
    <w:p w14:paraId="0A0F2D44" w14:textId="1B133084" w:rsidR="00ED2ABC" w:rsidRPr="001938B3" w:rsidRDefault="00ED2ABC" w:rsidP="00ED2ABC">
      <w:pPr>
        <w:spacing w:after="120"/>
        <w:rPr>
          <w:i/>
          <w:iCs/>
          <w:color w:val="1F4E79" w:themeColor="accent5" w:themeShade="80"/>
        </w:rPr>
      </w:pPr>
      <w:r w:rsidRPr="001938B3">
        <w:t xml:space="preserve"> </w:t>
      </w:r>
      <w:r w:rsidRPr="001938B3">
        <w:br/>
      </w:r>
      <w:r w:rsidRPr="001938B3">
        <w:br/>
      </w:r>
      <w:r w:rsidRPr="001938B3">
        <w:rPr>
          <w:noProof/>
        </w:rPr>
        <w:lastRenderedPageBreak/>
        <w:drawing>
          <wp:inline distT="0" distB="0" distL="0" distR="0" wp14:anchorId="1B67DAF5" wp14:editId="7A479F8C">
            <wp:extent cx="6116320" cy="2776855"/>
            <wp:effectExtent l="0" t="0" r="5080" b="4445"/>
            <wp:docPr id="88721069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10696" name=""/>
                    <pic:cNvPicPr/>
                  </pic:nvPicPr>
                  <pic:blipFill>
                    <a:blip r:embed="rId9"/>
                    <a:stretch>
                      <a:fillRect/>
                    </a:stretch>
                  </pic:blipFill>
                  <pic:spPr>
                    <a:xfrm>
                      <a:off x="0" y="0"/>
                      <a:ext cx="6116320" cy="2776855"/>
                    </a:xfrm>
                    <a:prstGeom prst="rect">
                      <a:avLst/>
                    </a:prstGeom>
                  </pic:spPr>
                </pic:pic>
              </a:graphicData>
            </a:graphic>
          </wp:inline>
        </w:drawing>
      </w:r>
      <w:r w:rsidR="00A51F1C">
        <w:t>R</w:t>
      </w:r>
      <w:r w:rsidR="00A51F1C" w:rsidRPr="00A51F1C">
        <w:rPr>
          <w:i/>
          <w:iCs/>
          <w:color w:val="1F4E79" w:themeColor="accent5" w:themeShade="80"/>
        </w:rPr>
        <w:t xml:space="preserve">ys. 3. Przykładowe roczne koszty zaopatrzenia w ciepło budynku jednorodzinnego o powierzchni 150 m², o zapotrzebowaniu na energię użytkową do ogrzewania EU 80 kWh/(m²·rok), z podziałem na koszty przygotowania ciepłej wody użytkowej dla 4-osobowej rodziny oraz koszty ogrzewania pomieszczeń. Dane uwzględniają koszty energii w II kwartale 2026 </w:t>
      </w:r>
      <w:r w:rsidR="00DA39BB">
        <w:rPr>
          <w:i/>
          <w:iCs/>
          <w:color w:val="1F4E79" w:themeColor="accent5" w:themeShade="80"/>
        </w:rPr>
        <w:t>r</w:t>
      </w:r>
      <w:r w:rsidRPr="001938B3">
        <w:rPr>
          <w:i/>
          <w:iCs/>
          <w:color w:val="1F4E79" w:themeColor="accent5" w:themeShade="80"/>
        </w:rPr>
        <w:t>.</w:t>
      </w:r>
    </w:p>
    <w:p w14:paraId="034842FD" w14:textId="529D8A9C" w:rsidR="00ED2ABC" w:rsidRPr="001938B3" w:rsidRDefault="00ED2ABC" w:rsidP="00ED2ABC">
      <w:pPr>
        <w:spacing w:after="120"/>
      </w:pPr>
      <w:r w:rsidRPr="001938B3">
        <w:t xml:space="preserve">Przyjrzyjmy się także kolejnemu wykresowi, na rys. 3. Pokazuje on szczegółowe rozbicie rocznych kosztów w budynku istniejącym o standardzie EU 80 kWh/(m²·rok) na dwa składniki: koszty ogrzewania pomieszczeń oraz koszty przygotowania ciepłej wody użytkowej. To ważne uzupełnienie wykresu 2, ponieważ pokazuje, że o różnicach między technologiami grzewczymi decydują przede wszystkim koszty ogrzewania pomieszczeń, natomiast wydatki na c.w.u. </w:t>
      </w:r>
      <w:r w:rsidR="009559D9">
        <w:t xml:space="preserve">dla różnych źródeł ciepła </w:t>
      </w:r>
      <w:r w:rsidRPr="001938B3">
        <w:t>są znacznie bardziej zbliżone.</w:t>
      </w:r>
    </w:p>
    <w:p w14:paraId="063EA55D" w14:textId="346ED6B3" w:rsidR="00ED2ABC" w:rsidRPr="001938B3" w:rsidRDefault="00ED2ABC" w:rsidP="00ED2ABC">
      <w:pPr>
        <w:spacing w:after="120"/>
      </w:pPr>
      <w:r w:rsidRPr="001938B3">
        <w:t xml:space="preserve">W przypadku pomp ciepła roczne koszty ciepłej wody użytkowej wynoszą 890-1010 zł rocznie, natomiast koszty ogrzewania budynku mieszczą się w przedziale od około 2440 zł do 4030 zł. Najniższe łączne roczne koszty ogrzewania osiąga gruntowa pompa ciepła współpracująca z ogrzewaniem podłogowym </w:t>
      </w:r>
      <w:r w:rsidR="005378E0" w:rsidRPr="001938B3">
        <w:rPr>
          <w:rFonts w:cstheme="minorHAnsi"/>
        </w:rPr>
        <w:t>−</w:t>
      </w:r>
      <w:r w:rsidRPr="001938B3">
        <w:t xml:space="preserve"> około 890 zł dla c.w.u. i 2440 zł dla ogrzewania. Dla pompy ciepła powietrze</w:t>
      </w:r>
      <w:r w:rsidR="005378E0" w:rsidRPr="001938B3">
        <w:t>-</w:t>
      </w:r>
      <w:r w:rsidRPr="001938B3">
        <w:t>woda z ogrzewaniem podłogowym jest to odpowiednio około 1010 zł i 2930 zł, a dla wariantu z grzejnikami około 1010 zł i 4030 zł.</w:t>
      </w:r>
    </w:p>
    <w:p w14:paraId="2C5A9A85" w14:textId="031B4FBB" w:rsidR="00ED2ABC" w:rsidRPr="001938B3" w:rsidRDefault="00ED2ABC" w:rsidP="00ED2ABC">
      <w:pPr>
        <w:spacing w:after="120"/>
      </w:pPr>
      <w:r w:rsidRPr="001938B3">
        <w:t xml:space="preserve">Dla kondensacyjnych kotłów na gaz ziemny koszty przygotowania c.w.u. wynoszą około 1160 zł rocznie, ale koszty samego ogrzewania budynku są już wyraźnie wyższe </w:t>
      </w:r>
      <w:r w:rsidR="005378E0" w:rsidRPr="001938B3">
        <w:rPr>
          <w:rFonts w:cstheme="minorHAnsi"/>
        </w:rPr>
        <w:t>−</w:t>
      </w:r>
      <w:r w:rsidRPr="001938B3">
        <w:t xml:space="preserve"> około 5120 zł dla instalacji podłogowej i około 5350 zł dla instalacji grzejnikowej. W przypadku kotła na pelet drzewny koszty te wynoszą odpowiednio około 1280 zł dla c.w.u. i około 6060 zł dla ogrzewania, a przy oleju opałowym około 1550 zł i 7230 zł.</w:t>
      </w:r>
    </w:p>
    <w:p w14:paraId="2AE6BC35" w14:textId="0E7D6304" w:rsidR="00ED2ABC" w:rsidRPr="001938B3" w:rsidRDefault="00ED2ABC" w:rsidP="00ED2ABC">
      <w:pPr>
        <w:spacing w:after="120"/>
      </w:pPr>
      <w:r w:rsidRPr="001938B3">
        <w:t xml:space="preserve">Wykres 3 bardzo dobrze pokazuje, że w budynku o standardzie EU 80 największe różnice między </w:t>
      </w:r>
      <w:r w:rsidR="00301AC1" w:rsidRPr="001938B3">
        <w:t>technologiami,</w:t>
      </w:r>
      <w:r w:rsidRPr="001938B3">
        <w:t xml:space="preserve"> jeśli chodzi o wysokość rachunków za ciepło wynikają z kosztów ogrzewania pomieszczeń. To właśnie dlatego w analizie opłacalności systemu grzewczego kluczowe znaczenie ma nie tylko cena paliwa czy energii, ale także sprawność całego układu, rodzaj instalacji odbiorczej i standard energetyczny budynku.</w:t>
      </w:r>
    </w:p>
    <w:p w14:paraId="70CF12AB" w14:textId="77777777" w:rsidR="00ED2ABC" w:rsidRPr="001938B3" w:rsidRDefault="00ED2ABC" w:rsidP="00ED2ABC">
      <w:pPr>
        <w:pStyle w:val="Nagwek1"/>
        <w:spacing w:before="280" w:after="160"/>
        <w:rPr>
          <w:rFonts w:ascii="Calibri" w:hAnsi="Calibri" w:cs="Calibri"/>
          <w:sz w:val="24"/>
          <w:szCs w:val="24"/>
          <w:lang w:val="pl-PL"/>
        </w:rPr>
      </w:pPr>
      <w:r w:rsidRPr="001938B3">
        <w:rPr>
          <w:rFonts w:ascii="Calibri" w:hAnsi="Calibri" w:cs="Calibri"/>
          <w:sz w:val="24"/>
          <w:szCs w:val="24"/>
          <w:lang w:val="pl-PL"/>
        </w:rPr>
        <w:lastRenderedPageBreak/>
        <w:t>Nowy budynek w standardzie WT 2021</w:t>
      </w:r>
    </w:p>
    <w:p w14:paraId="530C2D05" w14:textId="77777777" w:rsidR="00ED2ABC" w:rsidRPr="001938B3" w:rsidRDefault="00ED2ABC" w:rsidP="00ED2ABC">
      <w:pPr>
        <w:spacing w:after="120"/>
        <w:rPr>
          <w:i/>
          <w:iCs/>
          <w:color w:val="1F4E79" w:themeColor="accent5" w:themeShade="80"/>
        </w:rPr>
      </w:pPr>
      <w:r w:rsidRPr="001938B3">
        <w:rPr>
          <w:i/>
          <w:iCs/>
          <w:noProof/>
        </w:rPr>
        <w:drawing>
          <wp:inline distT="0" distB="0" distL="0" distR="0" wp14:anchorId="28C0C70E" wp14:editId="06A12E0B">
            <wp:extent cx="5852160" cy="2485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t2021-1.png"/>
                    <pic:cNvPicPr/>
                  </pic:nvPicPr>
                  <pic:blipFill>
                    <a:blip r:embed="rId10"/>
                    <a:stretch>
                      <a:fillRect/>
                    </a:stretch>
                  </pic:blipFill>
                  <pic:spPr>
                    <a:xfrm>
                      <a:off x="0" y="0"/>
                      <a:ext cx="5852160" cy="2485910"/>
                    </a:xfrm>
                    <a:prstGeom prst="rect">
                      <a:avLst/>
                    </a:prstGeom>
                  </pic:spPr>
                </pic:pic>
              </a:graphicData>
            </a:graphic>
          </wp:inline>
        </w:drawing>
      </w:r>
      <w:r w:rsidRPr="001938B3">
        <w:rPr>
          <w:i/>
          <w:iCs/>
        </w:rPr>
        <w:br/>
      </w:r>
      <w:r w:rsidRPr="001938B3">
        <w:rPr>
          <w:i/>
          <w:iCs/>
          <w:color w:val="1F4E79" w:themeColor="accent5" w:themeShade="80"/>
        </w:rPr>
        <w:t>Rys. 4. Przykładowe roczne koszty ogrzewania nowego budynku jednorodzinnego o powierzchni 150 m</w:t>
      </w:r>
      <w:r w:rsidRPr="001938B3">
        <w:rPr>
          <w:i/>
          <w:iCs/>
          <w:color w:val="1F4E79" w:themeColor="accent5" w:themeShade="80"/>
          <w:vertAlign w:val="superscript"/>
        </w:rPr>
        <w:t>2</w:t>
      </w:r>
      <w:r w:rsidRPr="001938B3">
        <w:rPr>
          <w:i/>
          <w:iCs/>
          <w:color w:val="1F4E79" w:themeColor="accent5" w:themeShade="80"/>
        </w:rPr>
        <w:t>, zrealizowanego zgodnie z minimum wymogów Warunków Technicznych 2021 (EU = 55 kWh/(m</w:t>
      </w:r>
      <w:r w:rsidRPr="001938B3">
        <w:rPr>
          <w:i/>
          <w:iCs/>
          <w:color w:val="1F4E79" w:themeColor="accent5" w:themeShade="80"/>
          <w:vertAlign w:val="superscript"/>
        </w:rPr>
        <w:t xml:space="preserve">2 · </w:t>
      </w:r>
      <w:r w:rsidRPr="001938B3">
        <w:rPr>
          <w:i/>
          <w:iCs/>
          <w:color w:val="1F4E79" w:themeColor="accent5" w:themeShade="80"/>
        </w:rPr>
        <w:t>rok)), wraz z kosztem przygotowania ciepłej wody użytkowej dla 4-osobowej rodziny. Dane uwzględniają koszty energii w II kwartale 2026 r.</w:t>
      </w:r>
    </w:p>
    <w:p w14:paraId="3A77D2FA" w14:textId="1624EB7A" w:rsidR="00ED2ABC" w:rsidRPr="001938B3" w:rsidRDefault="00ED2ABC" w:rsidP="00ED2ABC">
      <w:pPr>
        <w:spacing w:after="120"/>
      </w:pPr>
      <w:r w:rsidRPr="001938B3">
        <w:t xml:space="preserve">Wykres na rys. 4 pokazuje koszty w nowym budynku </w:t>
      </w:r>
      <w:r w:rsidR="00301AC1">
        <w:t xml:space="preserve">jednorodzinnym </w:t>
      </w:r>
      <w:r w:rsidRPr="001938B3">
        <w:t>spełniającym minimalny standard WT 2021 (Warunki Techniczne z 2021 roku), czyli odpowiadającym poziomowi EU = około 55 kWh/(m²·rok). W tym przypadku roczny koszt ogrzewania i c.w.u. wynosi około 3020 zł dla pompy ciepła powietrze</w:t>
      </w:r>
      <w:r w:rsidR="005378E0" w:rsidRPr="001938B3">
        <w:t>-</w:t>
      </w:r>
      <w:r w:rsidRPr="001938B3">
        <w:t>woda z ogrzewaniem podłogowym i około 2570 zł dla gruntowej pompy ciepła z podłogówką.</w:t>
      </w:r>
    </w:p>
    <w:p w14:paraId="21E5986A" w14:textId="23F4C8CD" w:rsidR="00ED2ABC" w:rsidRPr="001938B3" w:rsidRDefault="00ED2ABC" w:rsidP="00ED2ABC">
      <w:pPr>
        <w:spacing w:after="120"/>
      </w:pPr>
      <w:r w:rsidRPr="001938B3">
        <w:t xml:space="preserve">Wykres pokazuje również dwa warianty współpracy z instalacją fotowoltaiczną o mocy 4 kWp: wtedy koszty roczne spadają odpowiednio do około 2055 zł dla pompy powietrznej i około 1642 zł dla pompy gruntowej. </w:t>
      </w:r>
      <w:r w:rsidR="00DA39BB" w:rsidRPr="00DA39BB">
        <w:t>Dla porównania: roczny koszt ogrzewania i przygotowania c.w.u. dla kotła gazowego kondensacyjnego z ogrzewaniem podłogowym wynosi około 4910 zł</w:t>
      </w:r>
      <w:r w:rsidRPr="001938B3">
        <w:t>, kocioł na pelet drzewny około 5450 zł, na olej opałowy około 6520 zł, a kocioł elektryczny około 8070 zł.</w:t>
      </w:r>
    </w:p>
    <w:p w14:paraId="0014DAF3" w14:textId="77777777" w:rsidR="00ED2ABC" w:rsidRPr="001938B3" w:rsidRDefault="00ED2ABC" w:rsidP="00ED2ABC">
      <w:pPr>
        <w:pStyle w:val="Nagwek1"/>
        <w:spacing w:before="280" w:after="160"/>
        <w:rPr>
          <w:rFonts w:ascii="Calibri" w:hAnsi="Calibri" w:cs="Calibri"/>
          <w:sz w:val="24"/>
          <w:szCs w:val="24"/>
          <w:lang w:val="pl-PL"/>
        </w:rPr>
      </w:pPr>
      <w:r w:rsidRPr="001938B3">
        <w:rPr>
          <w:rFonts w:ascii="Calibri" w:hAnsi="Calibri" w:cs="Calibri"/>
          <w:sz w:val="24"/>
          <w:szCs w:val="24"/>
          <w:lang w:val="pl-PL"/>
        </w:rPr>
        <w:t>Nowy budynek w standardzie EU 30</w:t>
      </w:r>
    </w:p>
    <w:p w14:paraId="3B2057D9" w14:textId="77777777" w:rsidR="00ED2ABC" w:rsidRPr="001938B3" w:rsidRDefault="00ED2ABC" w:rsidP="00ED2ABC">
      <w:pPr>
        <w:spacing w:after="120"/>
        <w:rPr>
          <w:i/>
          <w:iCs/>
          <w:color w:val="1F4E79" w:themeColor="accent5" w:themeShade="80"/>
        </w:rPr>
      </w:pPr>
      <w:r w:rsidRPr="001938B3">
        <w:rPr>
          <w:i/>
          <w:iCs/>
          <w:noProof/>
        </w:rPr>
        <w:drawing>
          <wp:inline distT="0" distB="0" distL="0" distR="0" wp14:anchorId="70701A2F" wp14:editId="17A97423">
            <wp:extent cx="5852160" cy="2485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u30-1.png"/>
                    <pic:cNvPicPr/>
                  </pic:nvPicPr>
                  <pic:blipFill>
                    <a:blip r:embed="rId11"/>
                    <a:stretch>
                      <a:fillRect/>
                    </a:stretch>
                  </pic:blipFill>
                  <pic:spPr>
                    <a:xfrm>
                      <a:off x="0" y="0"/>
                      <a:ext cx="5852160" cy="2485910"/>
                    </a:xfrm>
                    <a:prstGeom prst="rect">
                      <a:avLst/>
                    </a:prstGeom>
                  </pic:spPr>
                </pic:pic>
              </a:graphicData>
            </a:graphic>
          </wp:inline>
        </w:drawing>
      </w:r>
      <w:r w:rsidRPr="001938B3">
        <w:rPr>
          <w:i/>
          <w:iCs/>
        </w:rPr>
        <w:br/>
      </w:r>
      <w:r w:rsidRPr="001938B3">
        <w:rPr>
          <w:i/>
          <w:iCs/>
          <w:color w:val="1F4E79" w:themeColor="accent5" w:themeShade="80"/>
        </w:rPr>
        <w:t xml:space="preserve">Rys. 5. Przykładowe roczne koszty ogrzewania nowego budynku jednorodzinnego o powierzchni 150 </w:t>
      </w:r>
      <w:r w:rsidRPr="001938B3">
        <w:rPr>
          <w:i/>
          <w:iCs/>
          <w:color w:val="1F4E79" w:themeColor="accent5" w:themeShade="80"/>
        </w:rPr>
        <w:lastRenderedPageBreak/>
        <w:t>m</w:t>
      </w:r>
      <w:r w:rsidRPr="001938B3">
        <w:rPr>
          <w:i/>
          <w:iCs/>
          <w:color w:val="1F4E79" w:themeColor="accent5" w:themeShade="80"/>
          <w:vertAlign w:val="superscript"/>
        </w:rPr>
        <w:t>2</w:t>
      </w:r>
      <w:r w:rsidRPr="001938B3">
        <w:rPr>
          <w:i/>
          <w:iCs/>
          <w:color w:val="1F4E79" w:themeColor="accent5" w:themeShade="80"/>
        </w:rPr>
        <w:t>, zrealizowanego w nowym standardzie branżowym EU 30  (EU = 30 kWh/(m</w:t>
      </w:r>
      <w:r w:rsidRPr="001938B3">
        <w:rPr>
          <w:i/>
          <w:iCs/>
          <w:color w:val="1F4E79" w:themeColor="accent5" w:themeShade="80"/>
          <w:vertAlign w:val="superscript"/>
        </w:rPr>
        <w:t xml:space="preserve">2 · </w:t>
      </w:r>
      <w:r w:rsidRPr="001938B3">
        <w:rPr>
          <w:i/>
          <w:iCs/>
          <w:color w:val="1F4E79" w:themeColor="accent5" w:themeShade="80"/>
        </w:rPr>
        <w:t>rok)), wraz z kosztem przygotowania ciepłej wody użytkowej dla 4-osobowej rodziny. Dane uwzględniają koszty energii w II kwartale 2026 r.</w:t>
      </w:r>
    </w:p>
    <w:p w14:paraId="62D6E2D1" w14:textId="77777777" w:rsidR="00ED2ABC" w:rsidRPr="001938B3" w:rsidRDefault="00ED2ABC" w:rsidP="00ED2ABC">
      <w:pPr>
        <w:spacing w:after="120"/>
      </w:pPr>
      <w:r w:rsidRPr="001938B3">
        <w:t xml:space="preserve">Najniższe koszty eksploatacyjne w całym zestawieniu dotyczą standardu EU 30 kWh/(m²·rok) dla nowych budynków, co ilustruje wykres na rys. 5. Różnice w wydatkach na ciepło, w porównaniu do nowego budynku spełniającego jedynie podstawowe wymogi WT 2021, są znaczące – poprawa standardu skutkuje minimalizacją wydatków oraz zdecydowanie większą ich „odpornością” na zmiany cen energii i paliw. </w:t>
      </w:r>
    </w:p>
    <w:p w14:paraId="68C8623C" w14:textId="0D716B0A" w:rsidR="00ED2ABC" w:rsidRPr="001938B3" w:rsidRDefault="00ED2ABC" w:rsidP="00ED2ABC">
      <w:pPr>
        <w:spacing w:after="120"/>
      </w:pPr>
      <w:r w:rsidRPr="001938B3">
        <w:t>W budynku w standardzie EU 30 roczny koszt ogrzewania i c.w.u. wynosi około 2110 zł dla pompy ciepła powietrze</w:t>
      </w:r>
      <w:r w:rsidR="0050240F" w:rsidRPr="001938B3">
        <w:t>-</w:t>
      </w:r>
      <w:r w:rsidRPr="001938B3">
        <w:t xml:space="preserve">woda z ogrzewaniem podłogowym i około 1810 zł dla gruntowej pompy ciepła z podłogówką. Przy współpracy z instalacją PV 4 kWp koszty spadają jeszcze bardziej </w:t>
      </w:r>
      <w:r w:rsidRPr="001938B3">
        <w:rPr>
          <w:rFonts w:cs="Calibri"/>
        </w:rPr>
        <w:t>−</w:t>
      </w:r>
      <w:r w:rsidRPr="001938B3">
        <w:t xml:space="preserve"> do około 1126 zł dla pompy powietrznej i około 863 zł dla pompy gruntowej. </w:t>
      </w:r>
    </w:p>
    <w:p w14:paraId="6A6D90BB" w14:textId="77777777" w:rsidR="00ED2ABC" w:rsidRPr="001938B3" w:rsidRDefault="00ED2ABC" w:rsidP="00ED2ABC">
      <w:pPr>
        <w:spacing w:after="120"/>
      </w:pPr>
      <w:r w:rsidRPr="001938B3">
        <w:t>Z kolei dla kotła gazowego kondensacyjnego z ogrzewaniem podłogowym koszt wynosi około 3130 zł, dla kotła na pelet drzewny około 3550 zł, dla olejowego około 4260 zł, a dla kotła elektrycznego około 5230 zł rocznie.</w:t>
      </w:r>
    </w:p>
    <w:p w14:paraId="08563638" w14:textId="77777777" w:rsidR="00ED2ABC" w:rsidRPr="001938B3" w:rsidRDefault="00ED2ABC" w:rsidP="00ED2ABC">
      <w:pPr>
        <w:pStyle w:val="Nagwek1"/>
        <w:spacing w:before="280" w:after="160"/>
        <w:rPr>
          <w:rFonts w:ascii="Calibri" w:hAnsi="Calibri" w:cs="Calibri"/>
          <w:sz w:val="24"/>
          <w:szCs w:val="24"/>
          <w:lang w:val="pl-PL"/>
        </w:rPr>
      </w:pPr>
      <w:r w:rsidRPr="001938B3">
        <w:rPr>
          <w:rFonts w:ascii="Calibri" w:hAnsi="Calibri" w:cs="Calibri"/>
          <w:sz w:val="24"/>
          <w:szCs w:val="24"/>
          <w:lang w:val="pl-PL"/>
        </w:rPr>
        <w:t>Stare dane klimatyczne zawyżają zapotrzebowanie na ciepło nawet o 30%</w:t>
      </w:r>
    </w:p>
    <w:p w14:paraId="06167FBB" w14:textId="21AB1A14" w:rsidR="0050240F" w:rsidRPr="001938B3" w:rsidRDefault="00ED2ABC" w:rsidP="00ED2ABC">
      <w:pPr>
        <w:spacing w:after="120"/>
      </w:pPr>
      <w:r w:rsidRPr="001938B3">
        <w:t>Warto zaznaczyć, że rzeczywiste zapotrzebowanie na ciepło użytkowe do ogrzewania pomieszczeń jest obecnie wyraźnie niższe niż wynika z metodologii opartej na archaicznych, ale wciąż obowiązujących danych klimatycznych z lat 1971-2000. Analizy Krajowej Agencji Poszanowania Energii, które zostały wykonane w ramach tworzenia standardu energetycznego EU</w:t>
      </w:r>
      <w:r w:rsidR="008A6658">
        <w:t xml:space="preserve"> </w:t>
      </w:r>
      <w:r w:rsidRPr="001938B3">
        <w:t xml:space="preserve">30, czyli nowego standardu </w:t>
      </w:r>
      <w:r w:rsidR="00301AC1">
        <w:t xml:space="preserve">zmierzającego do </w:t>
      </w:r>
      <w:r w:rsidRPr="001938B3">
        <w:t xml:space="preserve">bezemisyjnych domów jednorodzinnych, pokazują, że przy uwzględnieniu zaktualizowanych danych klimatycznych z lat 2001-2020 rzeczywiste wartości zapotrzebowania budynków na ciepło EU mogą być dziś niższe nawet o 25-35%. </w:t>
      </w:r>
      <w:r w:rsidR="001006AC">
        <w:t>Nowe dane klimatyczne zostały opracowane w 2023 r. w ramach projektu TLM 2000 przez dr inż. Piotra Narowskiego z Politechniki Warszawskiej.</w:t>
      </w:r>
    </w:p>
    <w:p w14:paraId="6E6AC57A" w14:textId="2DC09607" w:rsidR="00ED2ABC" w:rsidRPr="001938B3" w:rsidRDefault="001006AC" w:rsidP="00ED2ABC">
      <w:pPr>
        <w:spacing w:after="120"/>
      </w:pPr>
      <w:r>
        <w:t xml:space="preserve">Uwzględnienie aktualnych danych klimatycznych </w:t>
      </w:r>
      <w:r w:rsidR="009A6B54">
        <w:t xml:space="preserve">z lat 2001-2020 </w:t>
      </w:r>
      <w:r>
        <w:t>oznacza na przykład</w:t>
      </w:r>
      <w:r w:rsidR="00ED2ABC" w:rsidRPr="001938B3">
        <w:t>, że budynek kwalifikowany dziś na poziomie zapotrzebowania na energię użytkową EU 80 kWh/(m²·rok) może w rzeczywistości odpowiadać poziomowi zapotrzebowania około 5</w:t>
      </w:r>
      <w:r w:rsidR="00301AC1">
        <w:t>6</w:t>
      </w:r>
      <w:r w:rsidR="00ED2ABC" w:rsidRPr="001938B3">
        <w:t xml:space="preserve"> kWh/(m²·rok)</w:t>
      </w:r>
      <w:r w:rsidR="008A6658">
        <w:t xml:space="preserve"> – ilustruje to wykres na rys. 6</w:t>
      </w:r>
      <w:r w:rsidR="00ED2ABC" w:rsidRPr="001938B3">
        <w:t>. Z kolei budynek charakteryzujący się EU 140 kWh/(m²·rok) może być bliższy wartości około 100 kWh/(m²·rok). Przekonuje to o pilnej potrzebie wprowadzenia zmian w metodologii świadectw charakterystyki energetycznej budynków oraz modyfikacji zasad dotyczących audytu energetycznego.</w:t>
      </w:r>
    </w:p>
    <w:p w14:paraId="1126CFEF" w14:textId="0826A2BC" w:rsidR="00ED2ABC" w:rsidRPr="001938B3" w:rsidRDefault="00ED2ABC" w:rsidP="00ED2ABC">
      <w:pPr>
        <w:spacing w:after="120"/>
        <w:rPr>
          <w:highlight w:val="yellow"/>
        </w:rPr>
      </w:pPr>
      <w:r w:rsidRPr="001938B3">
        <w:rPr>
          <w:highlight w:val="yellow"/>
        </w:rPr>
        <w:lastRenderedPageBreak/>
        <w:br/>
      </w:r>
      <w:r w:rsidR="002953EC" w:rsidRPr="002953EC">
        <w:rPr>
          <w:noProof/>
          <w:highlight w:val="yellow"/>
        </w:rPr>
        <w:drawing>
          <wp:inline distT="0" distB="0" distL="0" distR="0" wp14:anchorId="4D3DB234" wp14:editId="43A536F8">
            <wp:extent cx="5760720" cy="3488690"/>
            <wp:effectExtent l="0" t="0" r="5080" b="3810"/>
            <wp:docPr id="1270240343" name="Obraz 2">
              <a:extLst xmlns:a="http://schemas.openxmlformats.org/drawingml/2006/main">
                <a:ext uri="{FF2B5EF4-FFF2-40B4-BE49-F238E27FC236}">
                  <a16:creationId xmlns:a16="http://schemas.microsoft.com/office/drawing/2014/main" id="{51D61C96-F044-2DDE-3C84-E816EF016F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51D61C96-F044-2DDE-3C84-E816EF016F73}"/>
                        </a:ext>
                      </a:extLst>
                    </pic:cNvPr>
                    <pic:cNvPicPr>
                      <a:picLocks noChangeAspect="1"/>
                    </pic:cNvPicPr>
                  </pic:nvPicPr>
                  <pic:blipFill>
                    <a:blip r:embed="rId12"/>
                    <a:stretch>
                      <a:fillRect/>
                    </a:stretch>
                  </pic:blipFill>
                  <pic:spPr>
                    <a:xfrm>
                      <a:off x="0" y="0"/>
                      <a:ext cx="5760720" cy="3488690"/>
                    </a:xfrm>
                    <a:prstGeom prst="rect">
                      <a:avLst/>
                    </a:prstGeom>
                  </pic:spPr>
                </pic:pic>
              </a:graphicData>
            </a:graphic>
          </wp:inline>
        </w:drawing>
      </w:r>
    </w:p>
    <w:p w14:paraId="1903CBFC" w14:textId="547D315B" w:rsidR="00ED2ABC" w:rsidRPr="001938B3" w:rsidRDefault="00A51F1C" w:rsidP="00ED2ABC">
      <w:pPr>
        <w:spacing w:after="120"/>
        <w:rPr>
          <w:color w:val="1F4E79" w:themeColor="accent5" w:themeShade="80"/>
          <w:highlight w:val="yellow"/>
        </w:rPr>
      </w:pPr>
      <w:r w:rsidRPr="00A51F1C">
        <w:rPr>
          <w:i/>
          <w:iCs/>
          <w:color w:val="1F4E79" w:themeColor="accent5" w:themeShade="80"/>
        </w:rPr>
        <w:t>Rys. 6. Przykładowe roczne koszty ogrzewania budynku jednorodzinnego o powierzchni 150 m², o zapotrzebowaniu na energię użytkową do ogrzewania EU 80 kWh/(m²·rok): porównanie kosztów przy nominalnym zapotrzebowaniu na energię do ogrzewania oraz po redukcji tego zapotrzebowania o 30%. Analiza oparta jest na obowiązującej metodologii oraz na porównaniu danych klimatycznych z lat 1971–2000 i 2001–2020. W obliczeniach uwzględniono koszty energii w II kwartale 2026 r</w:t>
      </w:r>
      <w:r w:rsidR="00ED2ABC" w:rsidRPr="001938B3">
        <w:rPr>
          <w:i/>
          <w:iCs/>
          <w:color w:val="1F4E79" w:themeColor="accent5" w:themeShade="80"/>
        </w:rPr>
        <w:t xml:space="preserve">. </w:t>
      </w:r>
    </w:p>
    <w:p w14:paraId="79317010" w14:textId="5318FECC" w:rsidR="00ED2ABC" w:rsidRPr="001938B3" w:rsidRDefault="00ED2ABC" w:rsidP="00ED2ABC">
      <w:pPr>
        <w:pStyle w:val="Nagwek2"/>
        <w:spacing w:before="240" w:after="120"/>
        <w:rPr>
          <w:rFonts w:ascii="Calibri" w:hAnsi="Calibri" w:cs="Calibri"/>
          <w:lang w:val="pl-PL"/>
        </w:rPr>
      </w:pPr>
      <w:r w:rsidRPr="001938B3">
        <w:rPr>
          <w:rFonts w:ascii="Calibri" w:hAnsi="Calibri" w:cs="Calibri"/>
          <w:lang w:val="pl-PL"/>
        </w:rPr>
        <w:t xml:space="preserve">Wybór systemu ogrzewania </w:t>
      </w:r>
      <w:r w:rsidR="00D41C80">
        <w:rPr>
          <w:rFonts w:ascii="Calibri" w:hAnsi="Calibri" w:cs="Calibri"/>
          <w:lang w:val="pl-PL"/>
        </w:rPr>
        <w:t xml:space="preserve">− </w:t>
      </w:r>
      <w:r w:rsidRPr="001938B3">
        <w:rPr>
          <w:rFonts w:ascii="Calibri" w:hAnsi="Calibri" w:cs="Calibri"/>
          <w:lang w:val="pl-PL"/>
        </w:rPr>
        <w:t>decyzja oparta na danych, nie emocjach</w:t>
      </w:r>
    </w:p>
    <w:p w14:paraId="78A52167" w14:textId="153F0009" w:rsidR="00ED2ABC" w:rsidRPr="001938B3" w:rsidRDefault="00ED2ABC" w:rsidP="00ED2ABC">
      <w:pPr>
        <w:spacing w:after="120"/>
      </w:pPr>
      <w:r w:rsidRPr="001938B3">
        <w:t>Z porównania kosztów dla czterech różnych poziomów zapotrzebowania budynku na energię użytkową</w:t>
      </w:r>
      <w:r w:rsidR="00301AC1">
        <w:t xml:space="preserve"> do </w:t>
      </w:r>
      <w:r w:rsidR="00F379B3">
        <w:t xml:space="preserve">ogrzewania </w:t>
      </w:r>
      <w:r w:rsidR="00F379B3" w:rsidRPr="001938B3">
        <w:t>(</w:t>
      </w:r>
      <w:r w:rsidRPr="001938B3">
        <w:t xml:space="preserve">EU) wynika bardzo wyraźnie, że zwiększenie lub poprawa standardu energetycznego radykalnie obniża koszty ogrzewania </w:t>
      </w:r>
      <w:r w:rsidR="00301AC1">
        <w:rPr>
          <w:rFonts w:cstheme="minorHAnsi"/>
        </w:rPr>
        <w:t xml:space="preserve">i to </w:t>
      </w:r>
      <w:r w:rsidRPr="001938B3">
        <w:t>niezależnie od zastosowanej technologii grzewczej. Analiza pokazuje też, że pompy ciepła należą do rozwiązań o najniższych kosztach eksploatacyjnych, szczególnie w budynkach o wyższym standardzie energetycznym i przy współpracy z fotowoltaiką.</w:t>
      </w:r>
    </w:p>
    <w:p w14:paraId="71FF558A" w14:textId="77777777" w:rsidR="00ED2ABC" w:rsidRPr="001938B3" w:rsidRDefault="00ED2ABC" w:rsidP="00ED2ABC">
      <w:pPr>
        <w:spacing w:after="120"/>
      </w:pPr>
      <w:r w:rsidRPr="001938B3">
        <w:t>Najważniejszy wniosek z całego zestawienia jest prosty: to nie samo źródło ciepła decyduje o rachunkach, lecz relacja między standardem energetycznym budynku a sprawnością całego systemu ogrzewania. Ten sam nośnik energii może generować zupełnie inne koszty w domu energochłonnym i w budynku zaprojektowanym według nowoczesnych standardów.</w:t>
      </w:r>
    </w:p>
    <w:p w14:paraId="6B818957" w14:textId="77777777" w:rsidR="00ED2ABC" w:rsidRPr="001938B3" w:rsidRDefault="00ED2ABC" w:rsidP="00ED2ABC">
      <w:pPr>
        <w:spacing w:after="120"/>
      </w:pPr>
      <w:r w:rsidRPr="001938B3">
        <w:t xml:space="preserve">Dlatego w przypadku budynków istniejących kluczowe pozostają dwa progi programu „Czyste Powietrze” </w:t>
      </w:r>
      <w:r w:rsidRPr="001938B3">
        <w:rPr>
          <w:rFonts w:cs="Calibri"/>
        </w:rPr>
        <w:t>−</w:t>
      </w:r>
      <w:r w:rsidRPr="001938B3">
        <w:t xml:space="preserve"> EU 140 i EU 80 </w:t>
      </w:r>
      <w:r w:rsidRPr="001938B3">
        <w:rPr>
          <w:rFonts w:cs="Calibri"/>
        </w:rPr>
        <w:t>−</w:t>
      </w:r>
      <w:r w:rsidRPr="001938B3">
        <w:t xml:space="preserve"> bo to one pokazują, jak bardzo standard energetyczny wpływa na opłacalność modernizacji. Z kolei dla nowych budynków punktem odniesienia powinny być dziś nie minimalne wymagania aktualnych Warunków Technicznych WT 2021, ale standardy wyższe, takie jak EU 30, które otwierają drogę do bardzo niskich kosztów eksploatacji i korzyści z integracji fotowoltaiki, magazynów energii, samochodów elektrycznych czy taryf dynamicznych. Konieczne jest również jak najszybsze dostosowanie w polskim prawie danych projektowych do warunków klimatycznych panujących w XXI wieku.</w:t>
      </w:r>
    </w:p>
    <w:p w14:paraId="637EB255" w14:textId="0C67DC85" w:rsidR="00ED2ABC" w:rsidRPr="001938B3" w:rsidRDefault="00865591" w:rsidP="00ED2ABC">
      <w:pPr>
        <w:spacing w:after="120"/>
      </w:pPr>
      <w:r w:rsidRPr="00865591">
        <w:lastRenderedPageBreak/>
        <w:t>Istotne jest także, by decyzję o wyborze systemu grzewczego opierać na rzetelnych danych dotyczących kosztów ogrzewania analizowanych w dłuższej perspektywie, a nie na przyzwyczajeniach czy krótkoterminowych zmianach cen paliw</w:t>
      </w:r>
      <w:r w:rsidR="00ED2ABC" w:rsidRPr="001938B3">
        <w:t>. Wspólnym mianownikiem najniższych kosztów eksploatacji pozostaje dobrze zaizolowany budynek oraz źródło ciepła o wysokiej efektywności sezonowej, które pozwala maksymalnie ograniczyć zużycie energii końcowej.</w:t>
      </w:r>
    </w:p>
    <w:p w14:paraId="0E8C5E18" w14:textId="77777777" w:rsidR="00ED2ABC" w:rsidRPr="001938B3" w:rsidRDefault="00ED2ABC" w:rsidP="00ED2ABC">
      <w:pPr>
        <w:spacing w:after="120"/>
      </w:pPr>
      <w:r w:rsidRPr="001938B3">
        <w:t xml:space="preserve">W aktualnych realiach rynkowych pompy ciepła </w:t>
      </w:r>
      <w:r w:rsidRPr="001938B3">
        <w:rPr>
          <w:rFonts w:cs="Calibri"/>
        </w:rPr>
        <w:t>−</w:t>
      </w:r>
      <w:r w:rsidRPr="001938B3">
        <w:t xml:space="preserve"> szczególnie w nowych i modernizowanych budynkach </w:t>
      </w:r>
      <w:r w:rsidRPr="001938B3">
        <w:rPr>
          <w:rFonts w:cs="Calibri"/>
        </w:rPr>
        <w:t>−</w:t>
      </w:r>
      <w:r w:rsidRPr="001938B3">
        <w:t xml:space="preserve"> pozostają rozwiązaniem oferującym jedne z najbardziej przewidywalnych i konkurencyjnych kosztów ogrzewania. Dane przedstawione w zestawieniu potwierdzają, że inwestycja w nowoczesny system grzewczy jest dziś nie tylko wyborem proekologicznym, ale również racjonalną decyzją ekonomiczną, która realnie wpływa na bezpieczeństwo i stabilność domowego budżetu w kolejnych latach.</w:t>
      </w:r>
    </w:p>
    <w:p w14:paraId="3A0271D2" w14:textId="3AFB1C6B" w:rsidR="00ED2ABC" w:rsidRPr="001938B3" w:rsidRDefault="00ED2ABC" w:rsidP="00ED2ABC">
      <w:pPr>
        <w:pStyle w:val="Nagwek2"/>
        <w:spacing w:before="240" w:after="120"/>
        <w:rPr>
          <w:rFonts w:ascii="Calibri" w:hAnsi="Calibri" w:cs="Calibri"/>
          <w:lang w:val="pl-PL"/>
        </w:rPr>
      </w:pPr>
      <w:r w:rsidRPr="001938B3">
        <w:rPr>
          <w:rFonts w:ascii="Calibri" w:hAnsi="Calibri" w:cs="Calibri"/>
          <w:lang w:val="pl-PL"/>
        </w:rPr>
        <w:t xml:space="preserve">Założenia </w:t>
      </w:r>
      <w:r w:rsidR="0050240F" w:rsidRPr="001938B3">
        <w:rPr>
          <w:rFonts w:ascii="Calibri" w:hAnsi="Calibri" w:cs="Calibri"/>
          <w:lang w:val="pl-PL"/>
        </w:rPr>
        <w:t xml:space="preserve">do </w:t>
      </w:r>
      <w:r w:rsidRPr="001938B3">
        <w:rPr>
          <w:rFonts w:ascii="Calibri" w:hAnsi="Calibri" w:cs="Calibri"/>
          <w:lang w:val="pl-PL"/>
        </w:rPr>
        <w:t>analizy</w:t>
      </w:r>
      <w:r w:rsidR="0050240F" w:rsidRPr="001938B3">
        <w:rPr>
          <w:rFonts w:ascii="Calibri" w:hAnsi="Calibri" w:cs="Calibri"/>
          <w:lang w:val="pl-PL"/>
        </w:rPr>
        <w:t xml:space="preserve"> POBE</w:t>
      </w:r>
    </w:p>
    <w:p w14:paraId="0AD55A7C" w14:textId="78976730" w:rsidR="00ED2ABC" w:rsidRPr="001938B3" w:rsidRDefault="00ED2ABC" w:rsidP="00ED2ABC">
      <w:pPr>
        <w:spacing w:after="120"/>
      </w:pPr>
      <w:r w:rsidRPr="001938B3">
        <w:t xml:space="preserve">Typowy dom jednorodzinny o powierzchni 150 m², 4 osoby, porównanie rocznych kosztów ogrzewania i przygotowania c.w.u. w czterech standardach </w:t>
      </w:r>
      <w:r w:rsidR="0050240F" w:rsidRPr="001938B3">
        <w:t xml:space="preserve">energetycznych </w:t>
      </w:r>
      <w:r w:rsidRPr="001938B3">
        <w:t>budynku: EU 140, EU 80, WT 2021 i EU 30.</w:t>
      </w:r>
    </w:p>
    <w:p w14:paraId="35FD0EAE" w14:textId="0A71F383" w:rsidR="00ED2ABC" w:rsidRPr="001938B3" w:rsidRDefault="00ED2ABC" w:rsidP="00ED2ABC">
      <w:pPr>
        <w:spacing w:after="120" w:line="276" w:lineRule="auto"/>
      </w:pPr>
      <w:r w:rsidRPr="001938B3">
        <w:t xml:space="preserve">Dane dotyczące cen paliw stałych pochodzą z raportu Polskiego Alarmu Smogowego (PAS) z kwietnia 2026 r., przygotowanego przez Instytut Badań Rynku i Opinii Publicznej CEM. Badanie cen zostało przeprowadzone z wykorzystaniem techniki typu „mystery calling” – osoby dzwoniące do składów opału podawały się za klientów planujących zakup. Kontroli poddano po dwa składy z każdego województwa – w całej Polsce 32 składy opału zlokalizowane w różnych miejscowościach. Analizując ceny węgla sprawdzano </w:t>
      </w:r>
      <w:r w:rsidR="001938B3" w:rsidRPr="001938B3">
        <w:t xml:space="preserve">cenę </w:t>
      </w:r>
      <w:r w:rsidRPr="001938B3">
        <w:t>granulat</w:t>
      </w:r>
      <w:r w:rsidR="001938B3" w:rsidRPr="001938B3">
        <w:t>u</w:t>
      </w:r>
      <w:r w:rsidRPr="001938B3">
        <w:t xml:space="preserve"> węglow</w:t>
      </w:r>
      <w:r w:rsidR="001938B3" w:rsidRPr="001938B3">
        <w:t>ego</w:t>
      </w:r>
      <w:r w:rsidRPr="001938B3">
        <w:t xml:space="preserve"> („groszek”). W przypadku </w:t>
      </w:r>
      <w:r w:rsidR="00301AC1" w:rsidRPr="001938B3">
        <w:t>pelletu drzewnego</w:t>
      </w:r>
      <w:r w:rsidR="001938B3" w:rsidRPr="001938B3">
        <w:t xml:space="preserve"> </w:t>
      </w:r>
      <w:r w:rsidRPr="001938B3">
        <w:t xml:space="preserve">brano pod uwagę najtańsze w ofercie danego dystrybutora certyfikowane paliwo w klasie A1. </w:t>
      </w:r>
    </w:p>
    <w:p w14:paraId="4828F590" w14:textId="77777777" w:rsidR="00ED2ABC" w:rsidRPr="001938B3" w:rsidRDefault="00ED2ABC" w:rsidP="00ED2ABC">
      <w:pPr>
        <w:spacing w:after="120" w:line="276" w:lineRule="auto"/>
      </w:pPr>
      <w:r w:rsidRPr="001938B3">
        <w:t>Ceny energii elektrycznej i gazu przyjęte do analizy kosztów ogrzewania zostały uśrednione. W przypadku energii elektrycznej uwzględniono popularną dwustrefową i weekendową taryfę energetyczną G12w, przyjmując średnią cenę dla różnych dostawców. W analizie nie wzięto pod uwagę kosztów obsługi urządzeń grzewczych − mają one znaczenie zwłaszcza przy eksploatacji kotłów na paliwo stałe.</w:t>
      </w:r>
    </w:p>
    <w:p w14:paraId="666172AC" w14:textId="77777777" w:rsidR="00ED2ABC" w:rsidRPr="001938B3" w:rsidRDefault="00ED2ABC" w:rsidP="00ED2ABC">
      <w:pPr>
        <w:spacing w:after="120" w:line="276" w:lineRule="auto"/>
        <w:rPr>
          <w:i/>
          <w:iCs/>
        </w:rPr>
      </w:pPr>
      <w:r w:rsidRPr="001938B3">
        <w:rPr>
          <w:i/>
          <w:iCs/>
        </w:rPr>
        <w:t>Źródło: Porozumienie Branżowe na Rzecz Efektywności Energetycznej POBE</w:t>
      </w:r>
    </w:p>
    <w:p w14:paraId="437916C3" w14:textId="77777777" w:rsidR="00ED2ABC" w:rsidRPr="001938B3" w:rsidRDefault="00ED2ABC" w:rsidP="00ED2ABC">
      <w:pPr>
        <w:spacing w:after="120"/>
        <w:rPr>
          <w:i/>
          <w:iCs/>
        </w:rPr>
      </w:pPr>
      <w:r w:rsidRPr="001938B3">
        <w:rPr>
          <w:b/>
          <w:bCs/>
          <w:i/>
          <w:iCs/>
        </w:rPr>
        <w:t>Arkusz kalkulacyjny jest dostępny na stronie internetowej POBE:</w:t>
      </w:r>
      <w:r w:rsidRPr="001938B3">
        <w:rPr>
          <w:i/>
          <w:iCs/>
        </w:rPr>
        <w:t xml:space="preserve"> </w:t>
      </w:r>
      <w:r w:rsidRPr="001938B3">
        <w:rPr>
          <w:i/>
          <w:iCs/>
        </w:rPr>
        <w:br/>
      </w:r>
      <w:hyperlink r:id="rId13" w:history="1">
        <w:r w:rsidRPr="001938B3">
          <w:rPr>
            <w:rStyle w:val="Hipercze"/>
            <w:i/>
            <w:iCs/>
          </w:rPr>
          <w:t>https://pobe.pl/materialy-i-poradniki/</w:t>
        </w:r>
      </w:hyperlink>
    </w:p>
    <w:p w14:paraId="176B0E5C" w14:textId="52C0ECB4" w:rsidR="00ED2ABC" w:rsidRPr="001938B3" w:rsidRDefault="00ED2ABC" w:rsidP="00ED2ABC">
      <w:pPr>
        <w:spacing w:after="120" w:line="276" w:lineRule="auto"/>
        <w:rPr>
          <w:i/>
          <w:iCs/>
        </w:rPr>
      </w:pPr>
      <w:r w:rsidRPr="001938B3">
        <w:rPr>
          <w:b/>
          <w:bCs/>
          <w:i/>
          <w:iCs/>
        </w:rPr>
        <w:t>Uproszczona wersja kalkulatora POBE</w:t>
      </w:r>
      <w:r w:rsidR="007C2733" w:rsidRPr="001938B3">
        <w:rPr>
          <w:b/>
          <w:bCs/>
          <w:i/>
          <w:iCs/>
        </w:rPr>
        <w:t xml:space="preserve"> (wersja API)</w:t>
      </w:r>
      <w:r w:rsidRPr="001938B3">
        <w:rPr>
          <w:b/>
          <w:bCs/>
          <w:i/>
          <w:iCs/>
        </w:rPr>
        <w:t>, przygotowana przez Polski Alarm Smogowy, jest dostępna na stronie internetowej:</w:t>
      </w:r>
      <w:r w:rsidRPr="001938B3">
        <w:rPr>
          <w:b/>
          <w:bCs/>
          <w:i/>
          <w:iCs/>
        </w:rPr>
        <w:br/>
      </w:r>
      <w:hyperlink r:id="rId14" w:history="1">
        <w:r w:rsidRPr="001938B3">
          <w:rPr>
            <w:rStyle w:val="Hipercze"/>
            <w:i/>
            <w:iCs/>
          </w:rPr>
          <w:t>https://polskialarmsmogowy.pl/kalkulator-kosztow-ogrzewania/</w:t>
        </w:r>
      </w:hyperlink>
      <w:r w:rsidRPr="001938B3">
        <w:rPr>
          <w:i/>
          <w:iCs/>
        </w:rPr>
        <w:t xml:space="preserve"> oraz </w:t>
      </w:r>
      <w:hyperlink r:id="rId15" w:history="1">
        <w:r w:rsidRPr="001938B3">
          <w:rPr>
            <w:rStyle w:val="Hipercze"/>
            <w:i/>
            <w:iCs/>
          </w:rPr>
          <w:t>https://pobe.pl/uproszczony-kalkulator-pobe-przez-polski-alarm-smogowy/</w:t>
        </w:r>
      </w:hyperlink>
    </w:p>
    <w:p w14:paraId="361D4ED1" w14:textId="47C66C80" w:rsidR="007C2733" w:rsidRPr="001938B3" w:rsidRDefault="00ED2ABC" w:rsidP="00ED2ABC">
      <w:pPr>
        <w:spacing w:after="120"/>
      </w:pPr>
      <w:r w:rsidRPr="001938B3">
        <w:rPr>
          <w:b/>
          <w:bCs/>
          <w:i/>
          <w:iCs/>
        </w:rPr>
        <w:t xml:space="preserve">Raport Krakowskiego Alarmu Smogowego dotyczący cen paliw stałych jest dostępny na stronie: </w:t>
      </w:r>
      <w:r w:rsidR="007C2733" w:rsidRPr="001938B3">
        <w:br/>
      </w:r>
      <w:hyperlink r:id="rId16" w:history="1">
        <w:r w:rsidR="007C2733" w:rsidRPr="001938B3">
          <w:rPr>
            <w:rStyle w:val="Hipercze"/>
          </w:rPr>
          <w:t>https://krakowskialarmsmogowy.pl/wp-content/uploads/2026/04/Raport-Ceny-paliw-stalych-kwiecien-2026.pdf</w:t>
        </w:r>
      </w:hyperlink>
    </w:p>
    <w:p w14:paraId="011298E5" w14:textId="48B349E7" w:rsidR="00ED2ABC" w:rsidRPr="001938B3" w:rsidRDefault="00ED2ABC" w:rsidP="00ED2ABC">
      <w:pPr>
        <w:spacing w:after="120"/>
      </w:pPr>
    </w:p>
    <w:p w14:paraId="418048E1" w14:textId="77777777" w:rsidR="00ED2ABC" w:rsidRPr="001938B3" w:rsidRDefault="00ED2ABC" w:rsidP="00ED2ABC">
      <w:pPr>
        <w:spacing w:after="120" w:line="276" w:lineRule="auto"/>
        <w:rPr>
          <w:i/>
          <w:iCs/>
        </w:rPr>
      </w:pPr>
      <w:r w:rsidRPr="001938B3">
        <w:t>***</w:t>
      </w:r>
      <w:r w:rsidRPr="001938B3">
        <w:br/>
      </w:r>
      <w:r w:rsidRPr="001938B3">
        <w:rPr>
          <w:b/>
          <w:bCs/>
          <w:i/>
          <w:iCs/>
        </w:rPr>
        <w:t xml:space="preserve">POBE </w:t>
      </w:r>
      <w:r w:rsidRPr="001938B3">
        <w:rPr>
          <w:i/>
          <w:iCs/>
        </w:rPr>
        <w:t xml:space="preserve">– </w:t>
      </w:r>
      <w:r w:rsidRPr="001938B3">
        <w:rPr>
          <w:b/>
          <w:bCs/>
          <w:i/>
          <w:iCs/>
        </w:rPr>
        <w:t>Porozumienie Branżowe na Rzecz Efektywności Energetycznej</w:t>
      </w:r>
      <w:r w:rsidRPr="001938B3">
        <w:rPr>
          <w:i/>
          <w:iCs/>
        </w:rPr>
        <w:t xml:space="preserve"> to porozumienie zrzeszające branżowe stowarzyszenia działające na rzecz poprawy efektywności energetycznej w budynkach. </w:t>
      </w:r>
      <w:r w:rsidRPr="001938B3">
        <w:rPr>
          <w:i/>
          <w:iCs/>
        </w:rPr>
        <w:lastRenderedPageBreak/>
        <w:t>POBE prowadzi cykliczne analizy kosztów ogrzewania oraz promuje rozwiązania zgodne z polityką klimatyczną UE.</w:t>
      </w:r>
    </w:p>
    <w:p w14:paraId="7178C8B6" w14:textId="15CEBB5A" w:rsidR="00ED2ABC" w:rsidRPr="001938B3" w:rsidRDefault="00ED2ABC" w:rsidP="00ED2ABC">
      <w:pPr>
        <w:spacing w:after="120" w:line="276" w:lineRule="auto"/>
        <w:rPr>
          <w:i/>
          <w:iCs/>
        </w:rPr>
      </w:pPr>
      <w:r w:rsidRPr="001938B3">
        <w:rPr>
          <w:i/>
          <w:iCs/>
        </w:rPr>
        <w:t xml:space="preserve">Więcej informacji o POBE: </w:t>
      </w:r>
      <w:hyperlink r:id="rId17" w:history="1">
        <w:r w:rsidRPr="001938B3">
          <w:rPr>
            <w:rStyle w:val="Hipercze"/>
            <w:i/>
            <w:iCs/>
          </w:rPr>
          <w:t>http://pobe.pl/</w:t>
        </w:r>
      </w:hyperlink>
      <w:r w:rsidRPr="001938B3">
        <w:rPr>
          <w:i/>
          <w:iCs/>
        </w:rPr>
        <w:br/>
      </w:r>
      <w:r w:rsidRPr="001938B3">
        <w:t xml:space="preserve">e-mail: </w:t>
      </w:r>
      <w:hyperlink r:id="rId18" w:history="1">
        <w:r w:rsidRPr="001938B3">
          <w:rPr>
            <w:rStyle w:val="Hipercze"/>
          </w:rPr>
          <w:t>pobe@pobe.pl</w:t>
        </w:r>
      </w:hyperlink>
      <w:r w:rsidRPr="001938B3">
        <w:rPr>
          <w:i/>
          <w:iCs/>
        </w:rPr>
        <w:br/>
      </w:r>
      <w:r w:rsidRPr="001938B3">
        <w:t xml:space="preserve">Facebook: </w:t>
      </w:r>
      <w:hyperlink r:id="rId19" w:history="1">
        <w:r w:rsidRPr="001938B3">
          <w:rPr>
            <w:rStyle w:val="Hipercze"/>
          </w:rPr>
          <w:t>https://www.facebook.com/PorozumieniePOBE</w:t>
        </w:r>
      </w:hyperlink>
      <w:r w:rsidRPr="001938B3">
        <w:rPr>
          <w:i/>
          <w:iCs/>
        </w:rPr>
        <w:br/>
      </w:r>
      <w:r w:rsidR="007A3C68">
        <w:t>X</w:t>
      </w:r>
      <w:r w:rsidRPr="001938B3">
        <w:t xml:space="preserve">: </w:t>
      </w:r>
      <w:hyperlink r:id="rId20" w:history="1">
        <w:r w:rsidRPr="001938B3">
          <w:rPr>
            <w:rStyle w:val="Hipercze"/>
          </w:rPr>
          <w:t>https://twitter.com/POBEpl</w:t>
        </w:r>
      </w:hyperlink>
    </w:p>
    <w:p w14:paraId="41B8E5C7" w14:textId="77777777" w:rsidR="00ED2ABC" w:rsidRPr="001938B3" w:rsidRDefault="00ED2ABC" w:rsidP="00ED2ABC">
      <w:pPr>
        <w:spacing w:before="200" w:after="0"/>
      </w:pPr>
    </w:p>
    <w:p w14:paraId="51570384" w14:textId="4265A5B1" w:rsidR="000056D9" w:rsidRPr="001938B3" w:rsidRDefault="000056D9" w:rsidP="00ED2ABC">
      <w:pPr>
        <w:rPr>
          <w:rFonts w:cstheme="minorHAnsi"/>
        </w:rPr>
      </w:pPr>
    </w:p>
    <w:sectPr w:rsidR="000056D9" w:rsidRPr="001938B3" w:rsidSect="0022159C">
      <w:headerReference w:type="default" r:id="rId21"/>
      <w:footerReference w:type="default" r:id="rId22"/>
      <w:pgSz w:w="11906" w:h="16838"/>
      <w:pgMar w:top="1417" w:right="1417" w:bottom="1138" w:left="1417" w:header="708" w:footer="4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0FFE62" w14:textId="77777777" w:rsidR="00D559F5" w:rsidRDefault="00D559F5" w:rsidP="00731748">
      <w:pPr>
        <w:spacing w:after="0" w:line="240" w:lineRule="auto"/>
      </w:pPr>
      <w:r>
        <w:separator/>
      </w:r>
    </w:p>
  </w:endnote>
  <w:endnote w:type="continuationSeparator" w:id="0">
    <w:p w14:paraId="0279E655" w14:textId="77777777" w:rsidR="00D559F5" w:rsidRDefault="00D559F5" w:rsidP="0073174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6BEBA7" w14:textId="77777777" w:rsidR="00731748" w:rsidRDefault="00000000" w:rsidP="00731748">
    <w:pPr>
      <w:pBdr>
        <w:top w:val="nil"/>
        <w:left w:val="nil"/>
        <w:bottom w:val="nil"/>
        <w:right w:val="nil"/>
        <w:between w:val="nil"/>
      </w:pBdr>
      <w:tabs>
        <w:tab w:val="center" w:pos="4536"/>
        <w:tab w:val="right" w:pos="9072"/>
      </w:tabs>
      <w:spacing w:after="0" w:line="240" w:lineRule="auto"/>
    </w:pPr>
    <w:bookmarkStart w:id="0" w:name="_Hlk90449616"/>
    <w:r>
      <w:rPr>
        <w:noProof/>
      </w:rPr>
      <w:pict w14:anchorId="6806B474">
        <v:rect id="_x0000_i1025" alt="" style="width:453.6pt;height:.05pt;mso-width-percent:0;mso-height-percent:0;mso-width-percent:0;mso-height-percent:0" o:hralign="center" o:hrstd="t" o:hr="t" fillcolor="#a0a0a0" stroked="f"/>
      </w:pict>
    </w:r>
  </w:p>
  <w:p w14:paraId="043C570A" w14:textId="77777777" w:rsidR="00731748" w:rsidRDefault="00731748" w:rsidP="00731748">
    <w:pPr>
      <w:pBdr>
        <w:top w:val="nil"/>
        <w:left w:val="nil"/>
        <w:bottom w:val="nil"/>
        <w:right w:val="nil"/>
        <w:between w:val="nil"/>
      </w:pBdr>
      <w:tabs>
        <w:tab w:val="center" w:pos="4536"/>
        <w:tab w:val="right" w:pos="9072"/>
      </w:tabs>
      <w:spacing w:after="0" w:line="240" w:lineRule="auto"/>
      <w:jc w:val="center"/>
      <w:rPr>
        <w:b/>
        <w:color w:val="000000"/>
      </w:rPr>
    </w:pPr>
    <w:r>
      <w:rPr>
        <w:b/>
      </w:rPr>
      <w:t>www.pobe.pl</w:t>
    </w:r>
  </w:p>
  <w:bookmarkEnd w:id="0"/>
  <w:p w14:paraId="17F4670D" w14:textId="77777777" w:rsidR="00731748" w:rsidRDefault="0073174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9F787E" w14:textId="77777777" w:rsidR="00D559F5" w:rsidRDefault="00D559F5" w:rsidP="00731748">
      <w:pPr>
        <w:spacing w:after="0" w:line="240" w:lineRule="auto"/>
      </w:pPr>
      <w:r>
        <w:separator/>
      </w:r>
    </w:p>
  </w:footnote>
  <w:footnote w:type="continuationSeparator" w:id="0">
    <w:p w14:paraId="73B61A25" w14:textId="77777777" w:rsidR="00D559F5" w:rsidRDefault="00D559F5" w:rsidP="0073174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A054E" w14:textId="20ABCB0E" w:rsidR="00731748" w:rsidRDefault="00731748">
    <w:pPr>
      <w:pStyle w:val="Nagwek"/>
    </w:pPr>
    <w:r>
      <w:rPr>
        <w:noProof/>
        <w:color w:val="404040"/>
      </w:rPr>
      <w:drawing>
        <wp:inline distT="114300" distB="114300" distL="114300" distR="114300" wp14:anchorId="7999A4BC" wp14:editId="21FCDFCD">
          <wp:extent cx="1360968" cy="696255"/>
          <wp:effectExtent l="0" t="0" r="0" b="8890"/>
          <wp:docPr id="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364852" cy="698242"/>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04F04F7"/>
    <w:multiLevelType w:val="hybridMultilevel"/>
    <w:tmpl w:val="1BA2913A"/>
    <w:lvl w:ilvl="0" w:tplc="1D8CCF44">
      <w:start w:val="1"/>
      <w:numFmt w:val="decimal"/>
      <w:lvlText w:val="%1."/>
      <w:lvlJc w:val="left"/>
      <w:pPr>
        <w:ind w:left="780" w:hanging="42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63102A4B"/>
    <w:multiLevelType w:val="hybridMultilevel"/>
    <w:tmpl w:val="7214E2E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666A4E30"/>
    <w:multiLevelType w:val="multilevel"/>
    <w:tmpl w:val="98B87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14277586">
    <w:abstractNumId w:val="2"/>
  </w:num>
  <w:num w:numId="2" w16cid:durableId="458915603">
    <w:abstractNumId w:val="1"/>
  </w:num>
  <w:num w:numId="3" w16cid:durableId="134115636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2193"/>
    <w:rsid w:val="000056D9"/>
    <w:rsid w:val="000239CF"/>
    <w:rsid w:val="00026E9D"/>
    <w:rsid w:val="0003593A"/>
    <w:rsid w:val="000475F8"/>
    <w:rsid w:val="000532C4"/>
    <w:rsid w:val="00061D26"/>
    <w:rsid w:val="00063293"/>
    <w:rsid w:val="000674DC"/>
    <w:rsid w:val="00082A3E"/>
    <w:rsid w:val="000867DE"/>
    <w:rsid w:val="00086FFA"/>
    <w:rsid w:val="000A0B3F"/>
    <w:rsid w:val="000A45B5"/>
    <w:rsid w:val="000A5270"/>
    <w:rsid w:val="000B7AB9"/>
    <w:rsid w:val="000C4487"/>
    <w:rsid w:val="000D1001"/>
    <w:rsid w:val="000D3F8D"/>
    <w:rsid w:val="000D5B39"/>
    <w:rsid w:val="000E4C9A"/>
    <w:rsid w:val="000F47DA"/>
    <w:rsid w:val="000F5E25"/>
    <w:rsid w:val="00100317"/>
    <w:rsid w:val="001006AC"/>
    <w:rsid w:val="00100835"/>
    <w:rsid w:val="00100BF3"/>
    <w:rsid w:val="00105FAA"/>
    <w:rsid w:val="00123082"/>
    <w:rsid w:val="00126C60"/>
    <w:rsid w:val="001938B3"/>
    <w:rsid w:val="001961FE"/>
    <w:rsid w:val="001A6456"/>
    <w:rsid w:val="001C1C65"/>
    <w:rsid w:val="001D0828"/>
    <w:rsid w:val="001D2E8C"/>
    <w:rsid w:val="001E436C"/>
    <w:rsid w:val="001F2274"/>
    <w:rsid w:val="00216FB4"/>
    <w:rsid w:val="00220E1C"/>
    <w:rsid w:val="0022159C"/>
    <w:rsid w:val="00227556"/>
    <w:rsid w:val="0024096E"/>
    <w:rsid w:val="0024227E"/>
    <w:rsid w:val="00243779"/>
    <w:rsid w:val="00256620"/>
    <w:rsid w:val="00257C5D"/>
    <w:rsid w:val="002620CF"/>
    <w:rsid w:val="00280A9C"/>
    <w:rsid w:val="00286236"/>
    <w:rsid w:val="002915EF"/>
    <w:rsid w:val="002953EC"/>
    <w:rsid w:val="002A4E29"/>
    <w:rsid w:val="002B3A10"/>
    <w:rsid w:val="002B6C81"/>
    <w:rsid w:val="002B74B7"/>
    <w:rsid w:val="002C2E01"/>
    <w:rsid w:val="002C5139"/>
    <w:rsid w:val="002D168C"/>
    <w:rsid w:val="002D72A6"/>
    <w:rsid w:val="00301AC1"/>
    <w:rsid w:val="00320B16"/>
    <w:rsid w:val="00336080"/>
    <w:rsid w:val="003370C1"/>
    <w:rsid w:val="003406B4"/>
    <w:rsid w:val="00342AB0"/>
    <w:rsid w:val="00345EB1"/>
    <w:rsid w:val="00372193"/>
    <w:rsid w:val="003722DF"/>
    <w:rsid w:val="00390CCC"/>
    <w:rsid w:val="00392A5A"/>
    <w:rsid w:val="00397F5E"/>
    <w:rsid w:val="003A2F07"/>
    <w:rsid w:val="003A427C"/>
    <w:rsid w:val="003B1633"/>
    <w:rsid w:val="003C0BD8"/>
    <w:rsid w:val="003D0523"/>
    <w:rsid w:val="003D52A4"/>
    <w:rsid w:val="003E174E"/>
    <w:rsid w:val="003E7AFA"/>
    <w:rsid w:val="003F168B"/>
    <w:rsid w:val="003F33EB"/>
    <w:rsid w:val="003F43B7"/>
    <w:rsid w:val="00414262"/>
    <w:rsid w:val="00414C81"/>
    <w:rsid w:val="00427508"/>
    <w:rsid w:val="00427E67"/>
    <w:rsid w:val="00433C46"/>
    <w:rsid w:val="00434C3A"/>
    <w:rsid w:val="00436B24"/>
    <w:rsid w:val="004371F7"/>
    <w:rsid w:val="00452A5C"/>
    <w:rsid w:val="004615CF"/>
    <w:rsid w:val="00464086"/>
    <w:rsid w:val="00464FE1"/>
    <w:rsid w:val="00472891"/>
    <w:rsid w:val="004814FF"/>
    <w:rsid w:val="004A7C28"/>
    <w:rsid w:val="004C50DD"/>
    <w:rsid w:val="004C7D38"/>
    <w:rsid w:val="004E39AE"/>
    <w:rsid w:val="004F3754"/>
    <w:rsid w:val="004F59E8"/>
    <w:rsid w:val="0050240F"/>
    <w:rsid w:val="00511E20"/>
    <w:rsid w:val="00522300"/>
    <w:rsid w:val="005346D6"/>
    <w:rsid w:val="00536B2D"/>
    <w:rsid w:val="005377E6"/>
    <w:rsid w:val="005378E0"/>
    <w:rsid w:val="0054743F"/>
    <w:rsid w:val="005508BD"/>
    <w:rsid w:val="00554A36"/>
    <w:rsid w:val="00560BFF"/>
    <w:rsid w:val="0056345F"/>
    <w:rsid w:val="0056500E"/>
    <w:rsid w:val="00592263"/>
    <w:rsid w:val="005A43A9"/>
    <w:rsid w:val="005A4BD1"/>
    <w:rsid w:val="005B12E9"/>
    <w:rsid w:val="005B2220"/>
    <w:rsid w:val="005B6372"/>
    <w:rsid w:val="005C4054"/>
    <w:rsid w:val="005C6C6C"/>
    <w:rsid w:val="005D6EA9"/>
    <w:rsid w:val="005F49C9"/>
    <w:rsid w:val="00604FB1"/>
    <w:rsid w:val="00616AC2"/>
    <w:rsid w:val="006644F8"/>
    <w:rsid w:val="00677F9F"/>
    <w:rsid w:val="00681589"/>
    <w:rsid w:val="00682CB1"/>
    <w:rsid w:val="00684447"/>
    <w:rsid w:val="006937E7"/>
    <w:rsid w:val="006B757B"/>
    <w:rsid w:val="006C30ED"/>
    <w:rsid w:val="006D6A86"/>
    <w:rsid w:val="006E73D4"/>
    <w:rsid w:val="00700071"/>
    <w:rsid w:val="0071450E"/>
    <w:rsid w:val="0072458B"/>
    <w:rsid w:val="0072528A"/>
    <w:rsid w:val="00731748"/>
    <w:rsid w:val="007455B1"/>
    <w:rsid w:val="00746CEC"/>
    <w:rsid w:val="00752953"/>
    <w:rsid w:val="00753E1E"/>
    <w:rsid w:val="0077221A"/>
    <w:rsid w:val="00780CF3"/>
    <w:rsid w:val="007A3578"/>
    <w:rsid w:val="007A3C68"/>
    <w:rsid w:val="007C2733"/>
    <w:rsid w:val="007D5964"/>
    <w:rsid w:val="00800393"/>
    <w:rsid w:val="00811FE4"/>
    <w:rsid w:val="00817802"/>
    <w:rsid w:val="00820C9B"/>
    <w:rsid w:val="008231A3"/>
    <w:rsid w:val="00823573"/>
    <w:rsid w:val="0083318F"/>
    <w:rsid w:val="00840A5B"/>
    <w:rsid w:val="00843E63"/>
    <w:rsid w:val="00862D9C"/>
    <w:rsid w:val="00865591"/>
    <w:rsid w:val="00876F97"/>
    <w:rsid w:val="0089131E"/>
    <w:rsid w:val="0089172E"/>
    <w:rsid w:val="00897071"/>
    <w:rsid w:val="008978EC"/>
    <w:rsid w:val="008A2240"/>
    <w:rsid w:val="008A374A"/>
    <w:rsid w:val="008A6658"/>
    <w:rsid w:val="008B467D"/>
    <w:rsid w:val="008C26AF"/>
    <w:rsid w:val="008D1C8B"/>
    <w:rsid w:val="008E2B3E"/>
    <w:rsid w:val="008E39F0"/>
    <w:rsid w:val="008E6BAB"/>
    <w:rsid w:val="008F686F"/>
    <w:rsid w:val="009015B6"/>
    <w:rsid w:val="00940D56"/>
    <w:rsid w:val="00941F8E"/>
    <w:rsid w:val="009435DF"/>
    <w:rsid w:val="00944755"/>
    <w:rsid w:val="00947A51"/>
    <w:rsid w:val="0095029D"/>
    <w:rsid w:val="00954427"/>
    <w:rsid w:val="009559D9"/>
    <w:rsid w:val="009603FF"/>
    <w:rsid w:val="009741E2"/>
    <w:rsid w:val="009811DC"/>
    <w:rsid w:val="00997DF7"/>
    <w:rsid w:val="009A488C"/>
    <w:rsid w:val="009A6B54"/>
    <w:rsid w:val="009B6F06"/>
    <w:rsid w:val="009C1BE9"/>
    <w:rsid w:val="00A04E14"/>
    <w:rsid w:val="00A15952"/>
    <w:rsid w:val="00A32C98"/>
    <w:rsid w:val="00A51F1C"/>
    <w:rsid w:val="00A93F3A"/>
    <w:rsid w:val="00AA5C30"/>
    <w:rsid w:val="00AA616B"/>
    <w:rsid w:val="00AA763F"/>
    <w:rsid w:val="00AB0416"/>
    <w:rsid w:val="00AD21C8"/>
    <w:rsid w:val="00AF726A"/>
    <w:rsid w:val="00B03A51"/>
    <w:rsid w:val="00B16A1B"/>
    <w:rsid w:val="00B25897"/>
    <w:rsid w:val="00B25E74"/>
    <w:rsid w:val="00B42B39"/>
    <w:rsid w:val="00B46C82"/>
    <w:rsid w:val="00B51B05"/>
    <w:rsid w:val="00B67C4E"/>
    <w:rsid w:val="00B70398"/>
    <w:rsid w:val="00B778E1"/>
    <w:rsid w:val="00BA1899"/>
    <w:rsid w:val="00BB0AF0"/>
    <w:rsid w:val="00BC1B99"/>
    <w:rsid w:val="00BC54EF"/>
    <w:rsid w:val="00BE64D2"/>
    <w:rsid w:val="00C11B04"/>
    <w:rsid w:val="00C14185"/>
    <w:rsid w:val="00C33892"/>
    <w:rsid w:val="00C408DA"/>
    <w:rsid w:val="00C40C3C"/>
    <w:rsid w:val="00C464EF"/>
    <w:rsid w:val="00C523D9"/>
    <w:rsid w:val="00C63B73"/>
    <w:rsid w:val="00C648E1"/>
    <w:rsid w:val="00CB7C60"/>
    <w:rsid w:val="00CD019D"/>
    <w:rsid w:val="00CD16E3"/>
    <w:rsid w:val="00CF335A"/>
    <w:rsid w:val="00CF60B8"/>
    <w:rsid w:val="00CF7A7A"/>
    <w:rsid w:val="00D174FD"/>
    <w:rsid w:val="00D40B90"/>
    <w:rsid w:val="00D41C80"/>
    <w:rsid w:val="00D41EFB"/>
    <w:rsid w:val="00D424B1"/>
    <w:rsid w:val="00D46F83"/>
    <w:rsid w:val="00D532B7"/>
    <w:rsid w:val="00D559F5"/>
    <w:rsid w:val="00D6435E"/>
    <w:rsid w:val="00D83A19"/>
    <w:rsid w:val="00DA39BB"/>
    <w:rsid w:val="00DC2325"/>
    <w:rsid w:val="00DC5758"/>
    <w:rsid w:val="00DC6037"/>
    <w:rsid w:val="00DE14F9"/>
    <w:rsid w:val="00DF082B"/>
    <w:rsid w:val="00E161BE"/>
    <w:rsid w:val="00E31882"/>
    <w:rsid w:val="00E340E0"/>
    <w:rsid w:val="00E460F1"/>
    <w:rsid w:val="00E573E9"/>
    <w:rsid w:val="00E65C79"/>
    <w:rsid w:val="00E865C5"/>
    <w:rsid w:val="00EC072E"/>
    <w:rsid w:val="00ED2ABC"/>
    <w:rsid w:val="00ED6341"/>
    <w:rsid w:val="00EE1BC6"/>
    <w:rsid w:val="00F004B4"/>
    <w:rsid w:val="00F00DF8"/>
    <w:rsid w:val="00F01363"/>
    <w:rsid w:val="00F10551"/>
    <w:rsid w:val="00F10D21"/>
    <w:rsid w:val="00F13D5A"/>
    <w:rsid w:val="00F21F00"/>
    <w:rsid w:val="00F27F08"/>
    <w:rsid w:val="00F374A4"/>
    <w:rsid w:val="00F379B3"/>
    <w:rsid w:val="00F379D9"/>
    <w:rsid w:val="00F42F3F"/>
    <w:rsid w:val="00F510CE"/>
    <w:rsid w:val="00F86569"/>
    <w:rsid w:val="00F94A71"/>
    <w:rsid w:val="00F94D98"/>
    <w:rsid w:val="00F963B3"/>
    <w:rsid w:val="00FA4774"/>
    <w:rsid w:val="00FA79DE"/>
    <w:rsid w:val="00FB40E1"/>
    <w:rsid w:val="00FB7B7A"/>
    <w:rsid w:val="00FE2E34"/>
    <w:rsid w:val="00FE6C0A"/>
    <w:rsid w:val="00FF61C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B74B01"/>
  <w15:chartTrackingRefBased/>
  <w15:docId w15:val="{6500070E-3C9C-4D3A-9801-A3EDB0657B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2D72A6"/>
  </w:style>
  <w:style w:type="paragraph" w:styleId="Nagwek1">
    <w:name w:val="heading 1"/>
    <w:basedOn w:val="Normalny"/>
    <w:next w:val="Normalny"/>
    <w:link w:val="Nagwek1Znak"/>
    <w:uiPriority w:val="9"/>
    <w:qFormat/>
    <w:rsid w:val="00ED2ABC"/>
    <w:pPr>
      <w:keepNext/>
      <w:keepLines/>
      <w:spacing w:before="480" w:after="0" w:line="276" w:lineRule="auto"/>
      <w:outlineLvl w:val="0"/>
    </w:pPr>
    <w:rPr>
      <w:rFonts w:asciiTheme="majorHAnsi" w:eastAsiaTheme="majorEastAsia" w:hAnsiTheme="majorHAnsi" w:cstheme="majorBidi"/>
      <w:b/>
      <w:bCs/>
      <w:color w:val="1B3E70"/>
      <w:sz w:val="28"/>
      <w:szCs w:val="28"/>
      <w:lang w:val="en-US"/>
    </w:rPr>
  </w:style>
  <w:style w:type="paragraph" w:styleId="Nagwek2">
    <w:name w:val="heading 2"/>
    <w:basedOn w:val="Normalny"/>
    <w:next w:val="Normalny"/>
    <w:link w:val="Nagwek2Znak"/>
    <w:uiPriority w:val="9"/>
    <w:unhideWhenUsed/>
    <w:qFormat/>
    <w:rsid w:val="00ED2ABC"/>
    <w:pPr>
      <w:keepNext/>
      <w:keepLines/>
      <w:spacing w:before="200" w:after="0" w:line="276" w:lineRule="auto"/>
      <w:outlineLvl w:val="1"/>
    </w:pPr>
    <w:rPr>
      <w:rFonts w:asciiTheme="majorHAnsi" w:eastAsiaTheme="majorEastAsia" w:hAnsiTheme="majorHAnsi" w:cstheme="majorBidi"/>
      <w:b/>
      <w:bCs/>
      <w:color w:val="1B3E70"/>
      <w:sz w:val="24"/>
      <w:szCs w:val="26"/>
      <w:lang w:val="en-US"/>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basedOn w:val="Domylnaczcionkaakapitu"/>
    <w:uiPriority w:val="99"/>
    <w:unhideWhenUsed/>
    <w:rsid w:val="00BE64D2"/>
    <w:rPr>
      <w:color w:val="0000FF"/>
      <w:u w:val="single"/>
    </w:rPr>
  </w:style>
  <w:style w:type="character" w:styleId="Nierozpoznanawzmianka">
    <w:name w:val="Unresolved Mention"/>
    <w:basedOn w:val="Domylnaczcionkaakapitu"/>
    <w:uiPriority w:val="99"/>
    <w:semiHidden/>
    <w:unhideWhenUsed/>
    <w:rsid w:val="00CB7C60"/>
    <w:rPr>
      <w:color w:val="605E5C"/>
      <w:shd w:val="clear" w:color="auto" w:fill="E1DFDD"/>
    </w:rPr>
  </w:style>
  <w:style w:type="paragraph" w:styleId="Nagwek">
    <w:name w:val="header"/>
    <w:basedOn w:val="Normalny"/>
    <w:link w:val="NagwekZnak"/>
    <w:uiPriority w:val="99"/>
    <w:unhideWhenUsed/>
    <w:rsid w:val="0073174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31748"/>
  </w:style>
  <w:style w:type="paragraph" w:styleId="Stopka">
    <w:name w:val="footer"/>
    <w:basedOn w:val="Normalny"/>
    <w:link w:val="StopkaZnak"/>
    <w:uiPriority w:val="99"/>
    <w:unhideWhenUsed/>
    <w:rsid w:val="0073174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31748"/>
  </w:style>
  <w:style w:type="paragraph" w:styleId="Poprawka">
    <w:name w:val="Revision"/>
    <w:hidden/>
    <w:uiPriority w:val="99"/>
    <w:semiHidden/>
    <w:rsid w:val="003D52A4"/>
    <w:pPr>
      <w:spacing w:after="0" w:line="240" w:lineRule="auto"/>
    </w:pPr>
  </w:style>
  <w:style w:type="character" w:styleId="UyteHipercze">
    <w:name w:val="FollowedHyperlink"/>
    <w:basedOn w:val="Domylnaczcionkaakapitu"/>
    <w:uiPriority w:val="99"/>
    <w:semiHidden/>
    <w:unhideWhenUsed/>
    <w:rsid w:val="0022159C"/>
    <w:rPr>
      <w:color w:val="954F72" w:themeColor="followedHyperlink"/>
      <w:u w:val="single"/>
    </w:rPr>
  </w:style>
  <w:style w:type="paragraph" w:styleId="Akapitzlist">
    <w:name w:val="List Paragraph"/>
    <w:basedOn w:val="Normalny"/>
    <w:uiPriority w:val="34"/>
    <w:qFormat/>
    <w:rsid w:val="003C0BD8"/>
    <w:pPr>
      <w:ind w:left="720"/>
      <w:contextualSpacing/>
    </w:pPr>
  </w:style>
  <w:style w:type="paragraph" w:styleId="NormalnyWeb">
    <w:name w:val="Normal (Web)"/>
    <w:basedOn w:val="Normalny"/>
    <w:uiPriority w:val="99"/>
    <w:semiHidden/>
    <w:unhideWhenUsed/>
    <w:rsid w:val="005377E6"/>
    <w:pPr>
      <w:spacing w:before="100" w:beforeAutospacing="1" w:after="100" w:afterAutospacing="1" w:line="240" w:lineRule="auto"/>
    </w:pPr>
    <w:rPr>
      <w:rFonts w:ascii="Calibri" w:hAnsi="Calibri" w:cs="Calibri"/>
      <w:lang w:eastAsia="pl-PL"/>
    </w:rPr>
  </w:style>
  <w:style w:type="character" w:customStyle="1" w:styleId="Nagwek1Znak">
    <w:name w:val="Nagłówek 1 Znak"/>
    <w:basedOn w:val="Domylnaczcionkaakapitu"/>
    <w:link w:val="Nagwek1"/>
    <w:uiPriority w:val="9"/>
    <w:rsid w:val="00ED2ABC"/>
    <w:rPr>
      <w:rFonts w:asciiTheme="majorHAnsi" w:eastAsiaTheme="majorEastAsia" w:hAnsiTheme="majorHAnsi" w:cstheme="majorBidi"/>
      <w:b/>
      <w:bCs/>
      <w:color w:val="1B3E70"/>
      <w:sz w:val="28"/>
      <w:szCs w:val="28"/>
      <w:lang w:val="en-US"/>
    </w:rPr>
  </w:style>
  <w:style w:type="character" w:customStyle="1" w:styleId="Nagwek2Znak">
    <w:name w:val="Nagłówek 2 Znak"/>
    <w:basedOn w:val="Domylnaczcionkaakapitu"/>
    <w:link w:val="Nagwek2"/>
    <w:uiPriority w:val="9"/>
    <w:rsid w:val="00ED2ABC"/>
    <w:rPr>
      <w:rFonts w:asciiTheme="majorHAnsi" w:eastAsiaTheme="majorEastAsia" w:hAnsiTheme="majorHAnsi" w:cstheme="majorBidi"/>
      <w:b/>
      <w:bCs/>
      <w:color w:val="1B3E70"/>
      <w:sz w:val="24"/>
      <w:szCs w:val="26"/>
      <w:lang w:val="en-US"/>
    </w:rPr>
  </w:style>
  <w:style w:type="character" w:styleId="Odwoaniedokomentarza">
    <w:name w:val="annotation reference"/>
    <w:basedOn w:val="Domylnaczcionkaakapitu"/>
    <w:uiPriority w:val="99"/>
    <w:semiHidden/>
    <w:unhideWhenUsed/>
    <w:rsid w:val="00ED2ABC"/>
    <w:rPr>
      <w:sz w:val="16"/>
      <w:szCs w:val="16"/>
    </w:rPr>
  </w:style>
  <w:style w:type="paragraph" w:styleId="Tekstkomentarza">
    <w:name w:val="annotation text"/>
    <w:basedOn w:val="Normalny"/>
    <w:link w:val="TekstkomentarzaZnak"/>
    <w:uiPriority w:val="99"/>
    <w:unhideWhenUsed/>
    <w:rsid w:val="00ED2ABC"/>
    <w:pPr>
      <w:spacing w:after="200" w:line="240" w:lineRule="auto"/>
    </w:pPr>
    <w:rPr>
      <w:rFonts w:ascii="Calibri" w:eastAsia="Calibri" w:hAnsi="Calibri"/>
      <w:sz w:val="20"/>
      <w:szCs w:val="20"/>
      <w:lang w:val="en-US"/>
    </w:rPr>
  </w:style>
  <w:style w:type="character" w:customStyle="1" w:styleId="TekstkomentarzaZnak">
    <w:name w:val="Tekst komentarza Znak"/>
    <w:basedOn w:val="Domylnaczcionkaakapitu"/>
    <w:link w:val="Tekstkomentarza"/>
    <w:uiPriority w:val="99"/>
    <w:rsid w:val="00ED2ABC"/>
    <w:rPr>
      <w:rFonts w:ascii="Calibri" w:eastAsia="Calibri" w:hAnsi="Calibri"/>
      <w:sz w:val="20"/>
      <w:szCs w:val="20"/>
      <w:lang w:val="en-US"/>
    </w:rPr>
  </w:style>
  <w:style w:type="paragraph" w:styleId="Tematkomentarza">
    <w:name w:val="annotation subject"/>
    <w:basedOn w:val="Tekstkomentarza"/>
    <w:next w:val="Tekstkomentarza"/>
    <w:link w:val="TematkomentarzaZnak"/>
    <w:uiPriority w:val="99"/>
    <w:semiHidden/>
    <w:unhideWhenUsed/>
    <w:rsid w:val="0050240F"/>
    <w:pPr>
      <w:spacing w:after="160"/>
    </w:pPr>
    <w:rPr>
      <w:rFonts w:asciiTheme="minorHAnsi" w:eastAsiaTheme="minorHAnsi" w:hAnsiTheme="minorHAnsi"/>
      <w:b/>
      <w:bCs/>
      <w:lang w:val="pl-PL"/>
    </w:rPr>
  </w:style>
  <w:style w:type="character" w:customStyle="1" w:styleId="TematkomentarzaZnak">
    <w:name w:val="Temat komentarza Znak"/>
    <w:basedOn w:val="TekstkomentarzaZnak"/>
    <w:link w:val="Tematkomentarza"/>
    <w:uiPriority w:val="99"/>
    <w:semiHidden/>
    <w:rsid w:val="0050240F"/>
    <w:rPr>
      <w:rFonts w:ascii="Calibri" w:eastAsia="Calibri" w:hAnsi="Calibri"/>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35348">
      <w:bodyDiv w:val="1"/>
      <w:marLeft w:val="0"/>
      <w:marRight w:val="0"/>
      <w:marTop w:val="0"/>
      <w:marBottom w:val="0"/>
      <w:divBdr>
        <w:top w:val="none" w:sz="0" w:space="0" w:color="auto"/>
        <w:left w:val="none" w:sz="0" w:space="0" w:color="auto"/>
        <w:bottom w:val="none" w:sz="0" w:space="0" w:color="auto"/>
        <w:right w:val="none" w:sz="0" w:space="0" w:color="auto"/>
      </w:divBdr>
    </w:div>
    <w:div w:id="198246802">
      <w:bodyDiv w:val="1"/>
      <w:marLeft w:val="0"/>
      <w:marRight w:val="0"/>
      <w:marTop w:val="0"/>
      <w:marBottom w:val="0"/>
      <w:divBdr>
        <w:top w:val="none" w:sz="0" w:space="0" w:color="auto"/>
        <w:left w:val="none" w:sz="0" w:space="0" w:color="auto"/>
        <w:bottom w:val="none" w:sz="0" w:space="0" w:color="auto"/>
        <w:right w:val="none" w:sz="0" w:space="0" w:color="auto"/>
      </w:divBdr>
    </w:div>
    <w:div w:id="459305055">
      <w:bodyDiv w:val="1"/>
      <w:marLeft w:val="0"/>
      <w:marRight w:val="0"/>
      <w:marTop w:val="0"/>
      <w:marBottom w:val="0"/>
      <w:divBdr>
        <w:top w:val="none" w:sz="0" w:space="0" w:color="auto"/>
        <w:left w:val="none" w:sz="0" w:space="0" w:color="auto"/>
        <w:bottom w:val="none" w:sz="0" w:space="0" w:color="auto"/>
        <w:right w:val="none" w:sz="0" w:space="0" w:color="auto"/>
      </w:divBdr>
    </w:div>
    <w:div w:id="720010742">
      <w:bodyDiv w:val="1"/>
      <w:marLeft w:val="0"/>
      <w:marRight w:val="0"/>
      <w:marTop w:val="0"/>
      <w:marBottom w:val="0"/>
      <w:divBdr>
        <w:top w:val="none" w:sz="0" w:space="0" w:color="auto"/>
        <w:left w:val="none" w:sz="0" w:space="0" w:color="auto"/>
        <w:bottom w:val="none" w:sz="0" w:space="0" w:color="auto"/>
        <w:right w:val="none" w:sz="0" w:space="0" w:color="auto"/>
      </w:divBdr>
    </w:div>
    <w:div w:id="1307661698">
      <w:bodyDiv w:val="1"/>
      <w:marLeft w:val="0"/>
      <w:marRight w:val="0"/>
      <w:marTop w:val="0"/>
      <w:marBottom w:val="0"/>
      <w:divBdr>
        <w:top w:val="none" w:sz="0" w:space="0" w:color="auto"/>
        <w:left w:val="none" w:sz="0" w:space="0" w:color="auto"/>
        <w:bottom w:val="none" w:sz="0" w:space="0" w:color="auto"/>
        <w:right w:val="none" w:sz="0" w:space="0" w:color="auto"/>
      </w:divBdr>
    </w:div>
    <w:div w:id="1507087317">
      <w:bodyDiv w:val="1"/>
      <w:marLeft w:val="0"/>
      <w:marRight w:val="0"/>
      <w:marTop w:val="0"/>
      <w:marBottom w:val="0"/>
      <w:divBdr>
        <w:top w:val="none" w:sz="0" w:space="0" w:color="auto"/>
        <w:left w:val="none" w:sz="0" w:space="0" w:color="auto"/>
        <w:bottom w:val="none" w:sz="0" w:space="0" w:color="auto"/>
        <w:right w:val="none" w:sz="0" w:space="0" w:color="auto"/>
      </w:divBdr>
      <w:divsChild>
        <w:div w:id="1245380714">
          <w:marLeft w:val="446"/>
          <w:marRight w:val="0"/>
          <w:marTop w:val="0"/>
          <w:marBottom w:val="120"/>
          <w:divBdr>
            <w:top w:val="none" w:sz="0" w:space="0" w:color="auto"/>
            <w:left w:val="none" w:sz="0" w:space="0" w:color="auto"/>
            <w:bottom w:val="none" w:sz="0" w:space="0" w:color="auto"/>
            <w:right w:val="none" w:sz="0" w:space="0" w:color="auto"/>
          </w:divBdr>
        </w:div>
      </w:divsChild>
    </w:div>
    <w:div w:id="1883863573">
      <w:bodyDiv w:val="1"/>
      <w:marLeft w:val="0"/>
      <w:marRight w:val="0"/>
      <w:marTop w:val="0"/>
      <w:marBottom w:val="0"/>
      <w:divBdr>
        <w:top w:val="none" w:sz="0" w:space="0" w:color="auto"/>
        <w:left w:val="none" w:sz="0" w:space="0" w:color="auto"/>
        <w:bottom w:val="none" w:sz="0" w:space="0" w:color="auto"/>
        <w:right w:val="none" w:sz="0" w:space="0" w:color="auto"/>
      </w:divBdr>
    </w:div>
    <w:div w:id="2038238873">
      <w:bodyDiv w:val="1"/>
      <w:marLeft w:val="0"/>
      <w:marRight w:val="0"/>
      <w:marTop w:val="0"/>
      <w:marBottom w:val="0"/>
      <w:divBdr>
        <w:top w:val="none" w:sz="0" w:space="0" w:color="auto"/>
        <w:left w:val="none" w:sz="0" w:space="0" w:color="auto"/>
        <w:bottom w:val="none" w:sz="0" w:space="0" w:color="auto"/>
        <w:right w:val="none" w:sz="0" w:space="0" w:color="auto"/>
      </w:divBdr>
      <w:divsChild>
        <w:div w:id="1222979069">
          <w:marLeft w:val="0"/>
          <w:marRight w:val="0"/>
          <w:marTop w:val="0"/>
          <w:marBottom w:val="0"/>
          <w:divBdr>
            <w:top w:val="none" w:sz="0" w:space="0" w:color="auto"/>
            <w:left w:val="none" w:sz="0" w:space="0" w:color="auto"/>
            <w:bottom w:val="none" w:sz="0" w:space="0" w:color="auto"/>
            <w:right w:val="none" w:sz="0" w:space="0" w:color="auto"/>
          </w:divBdr>
        </w:div>
        <w:div w:id="143597484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pobe.pl/materialy-i-poradniki/" TargetMode="External"/><Relationship Id="rId18" Type="http://schemas.openxmlformats.org/officeDocument/2006/relationships/hyperlink" Target="mailto:pobe@pobe.pl" TargetMode="Externa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hyperlink" Target="http://pobe.pl/" TargetMode="External"/><Relationship Id="rId2" Type="http://schemas.openxmlformats.org/officeDocument/2006/relationships/styles" Target="styles.xml"/><Relationship Id="rId16" Type="http://schemas.openxmlformats.org/officeDocument/2006/relationships/hyperlink" Target="https://krakowskialarmsmogowy.pl/wp-content/uploads/2026/04/Raport-Ceny-paliw-stalych-kwiecien-2026.pdf" TargetMode="External"/><Relationship Id="rId20" Type="http://schemas.openxmlformats.org/officeDocument/2006/relationships/hyperlink" Target="https://twitter.com/POBEp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pobe.pl/uproszczony-kalkulator-pobe-przez-polski-alarm-smogowy/" TargetMode="External"/><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www.facebook.com/PorozumieniePOBE"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hyperlink" Target="https://polskialarmsmogowy.pl/kalkulator-kosztow-ogrzewania/" TargetMode="External"/><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99</TotalTime>
  <Pages>9</Pages>
  <Words>2592</Words>
  <Characters>15552</Characters>
  <Application>Microsoft Office Word</Application>
  <DocSecurity>0</DocSecurity>
  <Lines>129</Lines>
  <Paragraphs>36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18108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Patrycja Rapacka</dc:creator>
  <cp:keywords/>
  <dc:description/>
  <cp:lastModifiedBy>Justyna Lis</cp:lastModifiedBy>
  <cp:revision>8</cp:revision>
  <dcterms:created xsi:type="dcterms:W3CDTF">2026-04-14T06:04:00Z</dcterms:created>
  <dcterms:modified xsi:type="dcterms:W3CDTF">2026-04-14T08:45:00Z</dcterms:modified>
</cp:coreProperties>
</file>